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3FCE9" w14:textId="5E1983F9" w:rsidR="00BE27D8" w:rsidRPr="00536432" w:rsidRDefault="00BE27D8" w:rsidP="005364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95570C">
        <w:rPr>
          <w:rFonts w:ascii="Times New Roman" w:hAnsi="Times New Roman" w:cs="Times New Roman"/>
          <w:sz w:val="24"/>
          <w:szCs w:val="24"/>
        </w:rPr>
        <w:tab/>
      </w:r>
      <w:r w:rsidR="0095570C">
        <w:rPr>
          <w:rFonts w:ascii="Times New Roman" w:hAnsi="Times New Roman" w:cs="Times New Roman"/>
          <w:sz w:val="24"/>
          <w:szCs w:val="24"/>
        </w:rPr>
        <w:tab/>
      </w:r>
      <w:r w:rsidR="00536432">
        <w:rPr>
          <w:rFonts w:ascii="Times New Roman" w:hAnsi="Times New Roman" w:cs="Times New Roman"/>
          <w:sz w:val="24"/>
          <w:szCs w:val="24"/>
        </w:rPr>
        <w:tab/>
      </w:r>
      <w:r w:rsidR="00536432">
        <w:rPr>
          <w:rFonts w:ascii="Times New Roman" w:hAnsi="Times New Roman" w:cs="Times New Roman"/>
          <w:sz w:val="24"/>
          <w:szCs w:val="24"/>
        </w:rPr>
        <w:tab/>
      </w:r>
      <w:r w:rsidR="00536432">
        <w:rPr>
          <w:rFonts w:ascii="Times New Roman" w:hAnsi="Times New Roman" w:cs="Times New Roman"/>
          <w:sz w:val="24"/>
          <w:szCs w:val="24"/>
        </w:rPr>
        <w:tab/>
      </w:r>
      <w:r w:rsidR="00536432">
        <w:rPr>
          <w:rFonts w:ascii="Times New Roman" w:hAnsi="Times New Roman" w:cs="Times New Roman"/>
          <w:sz w:val="24"/>
          <w:szCs w:val="24"/>
        </w:rPr>
        <w:tab/>
        <w:t xml:space="preserve">     </w:t>
      </w:r>
      <w:r w:rsidR="0095570C" w:rsidRPr="00277059">
        <w:rPr>
          <w:rFonts w:ascii="Arial Rounded MT Bold" w:hAnsi="Arial Rounded MT Bold" w:cs="Times New Roman"/>
          <w:color w:val="538135" w:themeColor="accent6" w:themeShade="BF"/>
          <w:sz w:val="24"/>
          <w:szCs w:val="24"/>
        </w:rPr>
        <w:t>Corrientes Antropológicas I</w:t>
      </w:r>
    </w:p>
    <w:p w14:paraId="36C649CB" w14:textId="77777777" w:rsidR="0095570C" w:rsidRPr="00277059" w:rsidRDefault="0095570C" w:rsidP="0095570C">
      <w:pPr>
        <w:spacing w:after="0" w:line="240" w:lineRule="auto"/>
        <w:jc w:val="right"/>
        <w:rPr>
          <w:rFonts w:ascii="Arial Rounded MT Bold" w:hAnsi="Arial Rounded MT Bold" w:cs="Times New Roman"/>
          <w:color w:val="538135" w:themeColor="accent6" w:themeShade="BF"/>
          <w:sz w:val="24"/>
          <w:szCs w:val="24"/>
        </w:rPr>
      </w:pPr>
      <w:r w:rsidRPr="00277059">
        <w:rPr>
          <w:rFonts w:ascii="Arial Rounded MT Bold" w:hAnsi="Arial Rounded MT Bold" w:cs="Times New Roman"/>
          <w:color w:val="538135" w:themeColor="accent6" w:themeShade="BF"/>
          <w:sz w:val="24"/>
          <w:szCs w:val="24"/>
        </w:rPr>
        <w:t xml:space="preserve">Unidad I: Historia intelectual de las </w:t>
      </w:r>
    </w:p>
    <w:p w14:paraId="2B47AD2C" w14:textId="5D664086" w:rsidR="0095570C" w:rsidRPr="00277059" w:rsidRDefault="0095570C" w:rsidP="0095570C">
      <w:pPr>
        <w:spacing w:after="0" w:line="240" w:lineRule="auto"/>
        <w:jc w:val="right"/>
        <w:rPr>
          <w:rFonts w:ascii="Arial Rounded MT Bold" w:hAnsi="Arial Rounded MT Bold" w:cs="Times New Roman"/>
          <w:color w:val="538135" w:themeColor="accent6" w:themeShade="BF"/>
          <w:sz w:val="24"/>
          <w:szCs w:val="24"/>
        </w:rPr>
      </w:pPr>
      <w:r w:rsidRPr="00277059">
        <w:rPr>
          <w:rFonts w:ascii="Arial Rounded MT Bold" w:hAnsi="Arial Rounded MT Bold" w:cs="Times New Roman"/>
          <w:color w:val="538135" w:themeColor="accent6" w:themeShade="BF"/>
          <w:sz w:val="24"/>
          <w:szCs w:val="24"/>
        </w:rPr>
        <w:t>primeras ideas antropológicas</w:t>
      </w:r>
    </w:p>
    <w:p w14:paraId="22EA3121" w14:textId="35E704AA" w:rsidR="0095570C" w:rsidRDefault="0095570C" w:rsidP="00BE27D8">
      <w:pPr>
        <w:jc w:val="center"/>
        <w:rPr>
          <w:rFonts w:ascii="Arial" w:hAnsi="Arial" w:cs="Arial"/>
          <w:b/>
          <w:bCs/>
          <w:sz w:val="32"/>
          <w:szCs w:val="32"/>
        </w:rPr>
      </w:pPr>
    </w:p>
    <w:p w14:paraId="6FDC1C56" w14:textId="3D6AD256" w:rsidR="0095570C" w:rsidRDefault="0095570C" w:rsidP="00BE27D8">
      <w:pPr>
        <w:jc w:val="center"/>
        <w:rPr>
          <w:rFonts w:ascii="Arial" w:hAnsi="Arial" w:cs="Arial"/>
          <w:b/>
          <w:bCs/>
          <w:sz w:val="32"/>
          <w:szCs w:val="32"/>
        </w:rPr>
      </w:pPr>
    </w:p>
    <w:p w14:paraId="3DCA33B6" w14:textId="47524C2F" w:rsidR="00BE27D8" w:rsidRDefault="00BE27D8" w:rsidP="00BE27D8">
      <w:pPr>
        <w:jc w:val="center"/>
        <w:rPr>
          <w:rFonts w:ascii="Arial" w:hAnsi="Arial" w:cs="Arial"/>
          <w:b/>
          <w:bCs/>
          <w:sz w:val="32"/>
          <w:szCs w:val="32"/>
        </w:rPr>
      </w:pPr>
      <w:r>
        <w:rPr>
          <w:rFonts w:ascii="Arial" w:hAnsi="Arial" w:cs="Arial"/>
          <w:b/>
          <w:bCs/>
          <w:sz w:val="32"/>
          <w:szCs w:val="32"/>
        </w:rPr>
        <w:t>Marco introductorio para abordar el texto “¿Qué es la Ilustración?” de I</w:t>
      </w:r>
      <w:r w:rsidR="003A2B15">
        <w:rPr>
          <w:rFonts w:ascii="Arial" w:hAnsi="Arial" w:cs="Arial"/>
          <w:b/>
          <w:bCs/>
          <w:sz w:val="32"/>
          <w:szCs w:val="32"/>
        </w:rPr>
        <w:t xml:space="preserve">mmanuel </w:t>
      </w:r>
      <w:r>
        <w:rPr>
          <w:rFonts w:ascii="Arial" w:hAnsi="Arial" w:cs="Arial"/>
          <w:b/>
          <w:bCs/>
          <w:sz w:val="32"/>
          <w:szCs w:val="32"/>
        </w:rPr>
        <w:t>Kant</w:t>
      </w:r>
      <w:r w:rsidR="007A0AFF">
        <w:rPr>
          <w:rStyle w:val="Refdenotaalpie"/>
          <w:rFonts w:ascii="Arial" w:hAnsi="Arial" w:cs="Arial"/>
          <w:b/>
          <w:bCs/>
          <w:sz w:val="32"/>
          <w:szCs w:val="32"/>
        </w:rPr>
        <w:footnoteReference w:id="1"/>
      </w:r>
    </w:p>
    <w:p w14:paraId="2F902A90" w14:textId="7CFD174F" w:rsidR="007A0AFF" w:rsidRPr="007A0AFF" w:rsidRDefault="007A0AFF" w:rsidP="00BE27D8">
      <w:pPr>
        <w:jc w:val="center"/>
        <w:rPr>
          <w:rFonts w:ascii="Arial" w:hAnsi="Arial" w:cs="Arial"/>
          <w:b/>
          <w:bCs/>
          <w:sz w:val="24"/>
          <w:szCs w:val="24"/>
        </w:rPr>
      </w:pPr>
    </w:p>
    <w:p w14:paraId="58C83560" w14:textId="50A6F6BE" w:rsidR="00E4758D" w:rsidRDefault="00E4758D" w:rsidP="005B3FBA">
      <w:pPr>
        <w:spacing w:after="0" w:line="240" w:lineRule="auto"/>
        <w:jc w:val="right"/>
        <w:rPr>
          <w:rFonts w:ascii="Arial" w:hAnsi="Arial" w:cs="Arial"/>
          <w:b/>
          <w:bCs/>
          <w:sz w:val="24"/>
          <w:szCs w:val="24"/>
        </w:rPr>
      </w:pPr>
      <w:r>
        <w:rPr>
          <w:rFonts w:ascii="Arial" w:hAnsi="Arial" w:cs="Arial"/>
          <w:b/>
          <w:bCs/>
          <w:sz w:val="24"/>
          <w:szCs w:val="24"/>
        </w:rPr>
        <w:t xml:space="preserve">Por Silvana </w:t>
      </w:r>
      <w:proofErr w:type="spellStart"/>
      <w:r>
        <w:rPr>
          <w:rFonts w:ascii="Arial" w:hAnsi="Arial" w:cs="Arial"/>
          <w:b/>
          <w:bCs/>
          <w:sz w:val="24"/>
          <w:szCs w:val="24"/>
        </w:rPr>
        <w:t>Sanchez</w:t>
      </w:r>
      <w:proofErr w:type="spellEnd"/>
    </w:p>
    <w:p w14:paraId="3054B463" w14:textId="77208C91" w:rsidR="005B3FBA" w:rsidRPr="00E4758D" w:rsidRDefault="005B3FBA" w:rsidP="005B3FBA">
      <w:pPr>
        <w:spacing w:after="0" w:line="240" w:lineRule="auto"/>
        <w:jc w:val="right"/>
        <w:rPr>
          <w:rFonts w:ascii="Arial" w:hAnsi="Arial" w:cs="Arial"/>
          <w:b/>
          <w:bCs/>
          <w:sz w:val="24"/>
          <w:szCs w:val="24"/>
        </w:rPr>
      </w:pPr>
      <w:r>
        <w:rPr>
          <w:rFonts w:ascii="Arial" w:hAnsi="Arial" w:cs="Arial"/>
          <w:b/>
          <w:bCs/>
          <w:sz w:val="24"/>
          <w:szCs w:val="24"/>
        </w:rPr>
        <w:t>Abril 2020</w:t>
      </w:r>
    </w:p>
    <w:p w14:paraId="45FE7438" w14:textId="77777777" w:rsidR="00BE27D8" w:rsidRDefault="00BE27D8" w:rsidP="00BE27D8">
      <w:pPr>
        <w:rPr>
          <w:rFonts w:ascii="Times New Roman" w:hAnsi="Times New Roman" w:cs="Times New Roman"/>
          <w:sz w:val="28"/>
          <w:szCs w:val="28"/>
        </w:rPr>
      </w:pPr>
    </w:p>
    <w:p w14:paraId="4DBD6029" w14:textId="00238507" w:rsidR="00BE27D8" w:rsidRPr="004164B8" w:rsidRDefault="00854233" w:rsidP="00BE27D8">
      <w:pPr>
        <w:rPr>
          <w:rFonts w:ascii="Arial Rounded MT Bold" w:hAnsi="Arial Rounded MT Bold"/>
          <w:color w:val="538135" w:themeColor="accent6" w:themeShade="BF"/>
          <w:sz w:val="28"/>
          <w:szCs w:val="28"/>
        </w:rPr>
      </w:pPr>
      <w:r w:rsidRPr="004164B8">
        <w:rPr>
          <w:rFonts w:ascii="Arial Rounded MT Bold" w:hAnsi="Arial Rounded MT Bold"/>
          <w:color w:val="538135" w:themeColor="accent6" w:themeShade="BF"/>
          <w:sz w:val="28"/>
          <w:szCs w:val="28"/>
        </w:rPr>
        <w:t>OBJETIVOS DE</w:t>
      </w:r>
      <w:r w:rsidR="000E5254">
        <w:rPr>
          <w:rFonts w:ascii="Arial Rounded MT Bold" w:hAnsi="Arial Rounded MT Bold"/>
          <w:color w:val="538135" w:themeColor="accent6" w:themeShade="BF"/>
          <w:sz w:val="28"/>
          <w:szCs w:val="28"/>
        </w:rPr>
        <w:t>L DOCUMENTO:</w:t>
      </w:r>
    </w:p>
    <w:p w14:paraId="5AE29D91" w14:textId="77777777" w:rsidR="006B2F8E" w:rsidRDefault="006B2F8E" w:rsidP="006B2F8E">
      <w:pPr>
        <w:pStyle w:val="Prrafodelista"/>
        <w:numPr>
          <w:ilvl w:val="0"/>
          <w:numId w:val="4"/>
        </w:numPr>
        <w:rPr>
          <w:rFonts w:ascii="Arial" w:hAnsi="Arial" w:cs="Arial"/>
          <w:b/>
          <w:bCs/>
          <w:sz w:val="28"/>
          <w:szCs w:val="28"/>
        </w:rPr>
      </w:pPr>
      <w:r>
        <w:rPr>
          <w:rFonts w:ascii="Arial" w:hAnsi="Arial" w:cs="Arial"/>
          <w:b/>
          <w:bCs/>
          <w:sz w:val="28"/>
          <w:szCs w:val="28"/>
        </w:rPr>
        <w:t>Ubicar el contexto sociohistórico e intelectual de la Europa del siglo XVIII.</w:t>
      </w:r>
    </w:p>
    <w:p w14:paraId="3C477F0A" w14:textId="2B8B282C" w:rsidR="00854233" w:rsidRDefault="009F6497" w:rsidP="00854233">
      <w:pPr>
        <w:pStyle w:val="Prrafodelista"/>
        <w:numPr>
          <w:ilvl w:val="0"/>
          <w:numId w:val="4"/>
        </w:numPr>
        <w:rPr>
          <w:rFonts w:ascii="Arial" w:hAnsi="Arial" w:cs="Arial"/>
          <w:b/>
          <w:bCs/>
          <w:sz w:val="28"/>
          <w:szCs w:val="28"/>
        </w:rPr>
      </w:pPr>
      <w:r>
        <w:rPr>
          <w:rFonts w:ascii="Arial" w:hAnsi="Arial" w:cs="Arial"/>
          <w:b/>
          <w:bCs/>
          <w:sz w:val="28"/>
          <w:szCs w:val="28"/>
        </w:rPr>
        <w:t>Situa</w:t>
      </w:r>
      <w:r w:rsidR="006B2F8E">
        <w:rPr>
          <w:rFonts w:ascii="Arial" w:hAnsi="Arial" w:cs="Arial"/>
          <w:b/>
          <w:bCs/>
          <w:sz w:val="28"/>
          <w:szCs w:val="28"/>
        </w:rPr>
        <w:t xml:space="preserve">r a la Ilustración como origen intelectual </w:t>
      </w:r>
      <w:r w:rsidR="00854233">
        <w:rPr>
          <w:rFonts w:ascii="Arial" w:hAnsi="Arial" w:cs="Arial"/>
          <w:b/>
          <w:bCs/>
          <w:sz w:val="28"/>
          <w:szCs w:val="28"/>
        </w:rPr>
        <w:t>del hombre moderno</w:t>
      </w:r>
    </w:p>
    <w:p w14:paraId="0FA68815" w14:textId="76FC0FB6" w:rsidR="00854233" w:rsidRPr="0081473A" w:rsidRDefault="00854233" w:rsidP="00BE27D8">
      <w:pPr>
        <w:pStyle w:val="Prrafodelista"/>
        <w:numPr>
          <w:ilvl w:val="0"/>
          <w:numId w:val="4"/>
        </w:numPr>
        <w:rPr>
          <w:rFonts w:ascii="Arial" w:hAnsi="Arial" w:cs="Arial"/>
          <w:b/>
          <w:bCs/>
          <w:sz w:val="28"/>
          <w:szCs w:val="28"/>
        </w:rPr>
      </w:pPr>
      <w:r>
        <w:rPr>
          <w:rFonts w:ascii="Arial" w:hAnsi="Arial" w:cs="Arial"/>
          <w:b/>
          <w:bCs/>
          <w:sz w:val="28"/>
          <w:szCs w:val="28"/>
        </w:rPr>
        <w:t>Comprender la contribución de Im</w:t>
      </w:r>
      <w:r w:rsidR="00183765">
        <w:rPr>
          <w:rFonts w:ascii="Arial" w:hAnsi="Arial" w:cs="Arial"/>
          <w:b/>
          <w:bCs/>
          <w:sz w:val="28"/>
          <w:szCs w:val="28"/>
        </w:rPr>
        <w:t>m</w:t>
      </w:r>
      <w:r>
        <w:rPr>
          <w:rFonts w:ascii="Arial" w:hAnsi="Arial" w:cs="Arial"/>
          <w:b/>
          <w:bCs/>
          <w:sz w:val="28"/>
          <w:szCs w:val="28"/>
        </w:rPr>
        <w:t xml:space="preserve">anuel Kant a </w:t>
      </w:r>
      <w:r w:rsidR="00D162CE">
        <w:rPr>
          <w:rFonts w:ascii="Arial" w:hAnsi="Arial" w:cs="Arial"/>
          <w:b/>
          <w:bCs/>
          <w:sz w:val="28"/>
          <w:szCs w:val="28"/>
        </w:rPr>
        <w:t>una</w:t>
      </w:r>
      <w:r>
        <w:rPr>
          <w:rFonts w:ascii="Arial" w:hAnsi="Arial" w:cs="Arial"/>
          <w:b/>
          <w:bCs/>
          <w:sz w:val="28"/>
          <w:szCs w:val="28"/>
        </w:rPr>
        <w:t xml:space="preserve"> nueva concepción del ser humano</w:t>
      </w:r>
    </w:p>
    <w:p w14:paraId="7F8A6AF5" w14:textId="7C363CF4" w:rsidR="00854233" w:rsidRDefault="00854233" w:rsidP="00BE27D8">
      <w:pPr>
        <w:rPr>
          <w:rFonts w:ascii="Arial" w:hAnsi="Arial" w:cs="Arial"/>
          <w:b/>
          <w:bCs/>
          <w:sz w:val="24"/>
          <w:szCs w:val="24"/>
        </w:rPr>
      </w:pPr>
    </w:p>
    <w:p w14:paraId="47CD4876" w14:textId="77777777" w:rsidR="00854233" w:rsidRDefault="00854233" w:rsidP="00BE27D8">
      <w:pPr>
        <w:rPr>
          <w:rFonts w:ascii="Arial" w:hAnsi="Arial" w:cs="Arial"/>
          <w:b/>
          <w:bCs/>
          <w:sz w:val="24"/>
          <w:szCs w:val="24"/>
        </w:rPr>
      </w:pPr>
    </w:p>
    <w:p w14:paraId="751EDA3C" w14:textId="77777777" w:rsidR="00BE27D8" w:rsidRPr="00277059" w:rsidRDefault="00BE27D8" w:rsidP="00277059">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sidRPr="00277059">
        <w:rPr>
          <w:rFonts w:ascii="Arial Rounded MT Bold" w:hAnsi="Arial Rounded MT Bold" w:cs="Arial"/>
          <w:b/>
          <w:bCs/>
          <w:color w:val="538135" w:themeColor="accent6" w:themeShade="BF"/>
          <w:sz w:val="28"/>
          <w:szCs w:val="28"/>
        </w:rPr>
        <w:t>Acerca del siglo XVIII europeo</w:t>
      </w:r>
    </w:p>
    <w:p w14:paraId="3BA72BBB" w14:textId="77777777" w:rsidR="00BE27D8" w:rsidRDefault="00BE27D8" w:rsidP="00BE27D8">
      <w:pPr>
        <w:pStyle w:val="Prrafodelista"/>
        <w:spacing w:after="0" w:line="360" w:lineRule="auto"/>
        <w:ind w:left="0" w:firstLine="708"/>
        <w:jc w:val="both"/>
        <w:rPr>
          <w:rFonts w:ascii="Arial" w:hAnsi="Arial" w:cs="Arial"/>
          <w:sz w:val="24"/>
          <w:szCs w:val="24"/>
        </w:rPr>
      </w:pPr>
    </w:p>
    <w:p w14:paraId="17456932" w14:textId="77777777" w:rsidR="00BE27D8"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Les presentamos algunas características del siglo XVIII europeo, conocido como el siglo de la Ilustración, que continuaremos trabajando en la clase próxima. En esta oportunidad identificamos los principales procesos socioeconómicos y políticos que dan forma al período, y señalamos la emergencia de una nueva concepción del ser humano.</w:t>
      </w:r>
    </w:p>
    <w:p w14:paraId="5CE168D9" w14:textId="77777777" w:rsidR="00BE27D8"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El siglo XVIII representa el momento cúlmine de un largo proceso de transición del orden medieval a la consolidación del capitalismo y la clase burguesa, integrándose en el conjunto de transformaciones que, iniciadas en el siglo XV, darán lugar a la paulatina disolución de la sociedad feudal y al acrecentamiento y posterior hegemonía de los sectores burgueses en las más importantes ciudades europeas. (García Orza, 1973).</w:t>
      </w:r>
    </w:p>
    <w:p w14:paraId="4E8023D3" w14:textId="020BE90A" w:rsidR="00BE27D8" w:rsidRDefault="00BE27D8" w:rsidP="00183765">
      <w:pPr>
        <w:pStyle w:val="Prrafodelista"/>
        <w:shd w:val="clear" w:color="auto" w:fill="E2EFD9" w:themeFill="accent6" w:themeFillTint="33"/>
        <w:spacing w:after="0" w:line="360" w:lineRule="auto"/>
        <w:ind w:left="708" w:firstLine="708"/>
        <w:jc w:val="both"/>
        <w:rPr>
          <w:rFonts w:ascii="Arial" w:hAnsi="Arial" w:cs="Arial"/>
          <w:sz w:val="24"/>
          <w:szCs w:val="24"/>
        </w:rPr>
      </w:pPr>
      <w:r>
        <w:rPr>
          <w:rFonts w:ascii="Arial" w:hAnsi="Arial" w:cs="Arial"/>
          <w:sz w:val="24"/>
          <w:szCs w:val="24"/>
        </w:rPr>
        <w:lastRenderedPageBreak/>
        <w:t>El camino recorrido a lo largo de estos siglos está constituido por marchas y contramarchas, por derrotas políticas, por violentas luchas entre sectores opuestos, pero en lo esencial, el proceso se mantiene irreversible y el debilitamiento de los intereses feudales resulta prácticamente inexorable a pesar de los intentos concretos, directos o indirectos, de restauración de los privilegios de la nobleza ocurridos en la Europa de ese período (García Orza, 1973:5).</w:t>
      </w:r>
    </w:p>
    <w:p w14:paraId="1DF7C707" w14:textId="77777777" w:rsidR="00183765" w:rsidRDefault="00183765" w:rsidP="00BE27D8">
      <w:pPr>
        <w:pStyle w:val="Prrafodelista"/>
        <w:spacing w:after="0" w:line="360" w:lineRule="auto"/>
        <w:ind w:left="708" w:firstLine="708"/>
        <w:jc w:val="both"/>
        <w:rPr>
          <w:rFonts w:ascii="Arial" w:hAnsi="Arial" w:cs="Arial"/>
          <w:sz w:val="24"/>
          <w:szCs w:val="24"/>
        </w:rPr>
      </w:pPr>
    </w:p>
    <w:p w14:paraId="24EB2B13" w14:textId="77777777" w:rsidR="00BE27D8"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La complejidad de dicho proceso transicional se expresa en ese entramado de marchas y contramarchas y de múltiples articulaciones y rearticulaciones de los sectores sociales en pugna, principalmente las monarquías, la nobleza y la naciente burguesía, pero en donde también se inscriben las luchas del campesinado que va siendo expulsado de los campos. En modo alguno se trató de un proceso lineal de derrumbe de un ordenamiento social y su reemplazo por uno nuevo, sino dialéctico</w:t>
      </w:r>
    </w:p>
    <w:p w14:paraId="174022DA" w14:textId="646E26A4" w:rsidR="00600ABA"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Esos siglos fueron testigos de cambios en todas las esferas de la economía, El modo de producción feudal se va debilitando, al tiempo que se va gestando un nuevo modo de producción -el capitalismo. El comercio y la industria crecen sin cesar al calor de la apertura de mercados de ultramar que tiene lugar a partir del descubrimiento occidental del mundo e inicio de la expansión colonialista. Durante el siglo XVIII, el sistema capitalista se afianza en buena parte de Europa, marcado por la excepcional marcha de los negocios mercantiles y el comienzo de la Revolución Industrial.</w:t>
      </w:r>
    </w:p>
    <w:p w14:paraId="70CD496D" w14:textId="77777777" w:rsidR="00600ABA" w:rsidRDefault="00600ABA" w:rsidP="00BE27D8">
      <w:pPr>
        <w:pStyle w:val="Prrafodelista"/>
        <w:spacing w:after="0" w:line="360" w:lineRule="auto"/>
        <w:ind w:left="0" w:firstLine="708"/>
        <w:jc w:val="both"/>
        <w:rPr>
          <w:rFonts w:ascii="Arial" w:hAnsi="Arial" w:cs="Arial"/>
          <w:sz w:val="24"/>
          <w:szCs w:val="24"/>
        </w:rPr>
      </w:pPr>
    </w:p>
    <w:p w14:paraId="74B23049" w14:textId="0184F9F4" w:rsidR="00600ABA" w:rsidRPr="00600ABA" w:rsidRDefault="00600ABA" w:rsidP="00BE27D8">
      <w:pPr>
        <w:pStyle w:val="Prrafodelista"/>
        <w:spacing w:after="0" w:line="360" w:lineRule="auto"/>
        <w:ind w:left="0" w:firstLine="708"/>
        <w:jc w:val="both"/>
        <w:rPr>
          <w:rFonts w:ascii="Arial" w:hAnsi="Arial" w:cs="Arial"/>
          <w:sz w:val="24"/>
          <w:szCs w:val="24"/>
        </w:rPr>
      </w:pPr>
      <w:r>
        <w:rPr>
          <w:noProof/>
        </w:rPr>
        <w:lastRenderedPageBreak/>
        <w:drawing>
          <wp:inline distT="0" distB="0" distL="0" distR="0" wp14:anchorId="50112D0D" wp14:editId="458093F3">
            <wp:extent cx="5400040" cy="35814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581400"/>
                    </a:xfrm>
                    <a:prstGeom prst="rect">
                      <a:avLst/>
                    </a:prstGeom>
                    <a:noFill/>
                    <a:ln>
                      <a:noFill/>
                    </a:ln>
                  </pic:spPr>
                </pic:pic>
              </a:graphicData>
            </a:graphic>
          </wp:inline>
        </w:drawing>
      </w:r>
      <w:r>
        <w:rPr>
          <w:rFonts w:ascii="Arial" w:hAnsi="Arial" w:cs="Arial"/>
          <w:sz w:val="24"/>
          <w:szCs w:val="24"/>
        </w:rPr>
        <w:t xml:space="preserve">                       </w:t>
      </w:r>
      <w:r>
        <w:rPr>
          <w:rFonts w:ascii="Arial" w:hAnsi="Arial" w:cs="Arial"/>
          <w:sz w:val="16"/>
          <w:szCs w:val="16"/>
        </w:rPr>
        <w:t xml:space="preserve">Fuente:  </w:t>
      </w:r>
      <w:hyperlink r:id="rId9" w:history="1">
        <w:r w:rsidRPr="00C61E70">
          <w:rPr>
            <w:rStyle w:val="Hipervnculo"/>
            <w:rFonts w:ascii="Arial" w:hAnsi="Arial" w:cs="Arial"/>
            <w:sz w:val="16"/>
            <w:szCs w:val="16"/>
          </w:rPr>
          <w:t>https://www.socialhizo.com/geografia/mapas/europa-monarquias-segunda-mitad-del-siglo-xviii</w:t>
        </w:r>
      </w:hyperlink>
    </w:p>
    <w:p w14:paraId="61A02566" w14:textId="77777777" w:rsidR="00600ABA" w:rsidRDefault="00600ABA" w:rsidP="00BE27D8">
      <w:pPr>
        <w:pStyle w:val="Prrafodelista"/>
        <w:spacing w:after="0" w:line="360" w:lineRule="auto"/>
        <w:ind w:left="0" w:firstLine="708"/>
        <w:jc w:val="both"/>
        <w:rPr>
          <w:rFonts w:ascii="Arial" w:hAnsi="Arial" w:cs="Arial"/>
          <w:sz w:val="24"/>
          <w:szCs w:val="24"/>
        </w:rPr>
      </w:pPr>
    </w:p>
    <w:p w14:paraId="6CE02E13" w14:textId="20B33D37" w:rsidR="00BE27D8"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 El sistema político-social será el del Antiguo Régimen, que emerge en esa transición como una tendencia a la centralización del poder en monarquías absolutas, que va socavando la estructura de privilegios de la nobleza y el clero. Ese Antiguo Régimen entrará en crisis en la Revolución Holandesa (1648), la Revolución Inglesa (1688) y la Revolución Francesa (1789), las grandes revoluciones europeas que dan origen al mundo moderno.</w:t>
      </w:r>
    </w:p>
    <w:p w14:paraId="6F547540" w14:textId="54533809" w:rsidR="00BE27D8" w:rsidRDefault="00BE27D8" w:rsidP="00BE27D8">
      <w:pPr>
        <w:spacing w:after="0" w:line="360" w:lineRule="auto"/>
        <w:ind w:firstLine="708"/>
        <w:jc w:val="both"/>
        <w:rPr>
          <w:rFonts w:ascii="Arial" w:hAnsi="Arial" w:cs="Arial"/>
          <w:sz w:val="24"/>
          <w:szCs w:val="24"/>
        </w:rPr>
      </w:pPr>
      <w:r>
        <w:rPr>
          <w:rFonts w:ascii="Arial" w:hAnsi="Arial" w:cs="Arial"/>
          <w:sz w:val="24"/>
          <w:szCs w:val="24"/>
        </w:rPr>
        <w:t>Interesa resaltar que la publicación del artículo de Kant</w:t>
      </w:r>
      <w:r w:rsidR="00183765">
        <w:rPr>
          <w:rFonts w:ascii="Arial" w:hAnsi="Arial" w:cs="Arial"/>
          <w:sz w:val="24"/>
          <w:szCs w:val="24"/>
        </w:rPr>
        <w:t xml:space="preserve"> “¿Qué es la Ilustración?”</w:t>
      </w:r>
      <w:r>
        <w:rPr>
          <w:rFonts w:ascii="Arial" w:hAnsi="Arial" w:cs="Arial"/>
          <w:sz w:val="24"/>
          <w:szCs w:val="24"/>
        </w:rPr>
        <w:t xml:space="preserve"> se sitúa entre la Declaración de la Independencia de Estados Unidos de América en 1776 y la Revolución Francesa de 1789, los dos grandes procesos políticos protagonizados por la burguesía en el último cuarto del siglo XVIII</w:t>
      </w:r>
    </w:p>
    <w:p w14:paraId="16231D40" w14:textId="77777777" w:rsidR="00BE27D8"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Paralelamente al derrumbe económico y político del feudalismo, en la esfera del pensamiento se lleva a cabo una crítica profunda a las ideas asociadas con ese orden. Es decir que también se van a ir disolviendo las estructuras de pensamiento de la sociedad medieval (García Orza, 1973).</w:t>
      </w:r>
    </w:p>
    <w:p w14:paraId="5C25E39C" w14:textId="51566CF6" w:rsidR="00BE27D8"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 xml:space="preserve">El primer momento de toda esa gran renovación del pensamiento se va a dar en el Renacimiento (siglos XV–XVI); con la mirada puesta en el humanismo clásico, se trata de introducir </w:t>
      </w:r>
      <w:r>
        <w:rPr>
          <w:rFonts w:ascii="Arial" w:hAnsi="Arial" w:cs="Arial"/>
          <w:b/>
          <w:bCs/>
          <w:sz w:val="24"/>
          <w:szCs w:val="24"/>
        </w:rPr>
        <w:t xml:space="preserve">un nuevo modelo de hombre. </w:t>
      </w:r>
      <w:r>
        <w:rPr>
          <w:rFonts w:ascii="Arial" w:hAnsi="Arial" w:cs="Arial"/>
          <w:sz w:val="24"/>
          <w:szCs w:val="24"/>
        </w:rPr>
        <w:t xml:space="preserve">En un proceso de </w:t>
      </w:r>
      <w:r>
        <w:rPr>
          <w:rFonts w:ascii="Arial" w:hAnsi="Arial" w:cs="Arial"/>
          <w:sz w:val="24"/>
          <w:szCs w:val="24"/>
        </w:rPr>
        <w:lastRenderedPageBreak/>
        <w:t xml:space="preserve">ruptura con el mundo medieval, se da valor a las ideas de libertad individual y autonomía moral. El proceso de reivindicación de la individualidad se acentúa con el movimiento de la Reforma, y llevará en el siglo XVII al desplazamiento de la autoridad tradicional como criterio de verdad, por la subjetividad del individuo. Si la autoridad ya no proviene de los dogmas, ésta debe provenir de la libre observación del sujeto. (García Orza, 1973). Esto </w:t>
      </w:r>
      <w:r w:rsidR="00AA25EA">
        <w:rPr>
          <w:rFonts w:ascii="Arial" w:hAnsi="Arial" w:cs="Arial"/>
          <w:sz w:val="24"/>
          <w:szCs w:val="24"/>
        </w:rPr>
        <w:t>conduce</w:t>
      </w:r>
      <w:r>
        <w:rPr>
          <w:rFonts w:ascii="Arial" w:hAnsi="Arial" w:cs="Arial"/>
          <w:sz w:val="24"/>
          <w:szCs w:val="24"/>
        </w:rPr>
        <w:t xml:space="preserve"> a analizar las estructuras fundamentales del conocimiento humano, que se lleva a cabo tanto desde las posiciones empiristas como desde las racionalistas. Con Descartes, el conocimiento del mundo parte de la razón humana, se convierte al individuo racional en juez de sus propias realizaciones, rompiendo con el criterio de verdad medieval.  La filosofía moderna coloca al hombre en el centro del conocer.</w:t>
      </w:r>
    </w:p>
    <w:p w14:paraId="7A7FEB90" w14:textId="77777777" w:rsidR="00183765" w:rsidRDefault="00183765" w:rsidP="00BE27D8">
      <w:pPr>
        <w:pStyle w:val="Prrafodelista"/>
        <w:spacing w:after="0" w:line="360" w:lineRule="auto"/>
        <w:ind w:left="0" w:firstLine="708"/>
        <w:jc w:val="both"/>
        <w:rPr>
          <w:rFonts w:ascii="Arial" w:hAnsi="Arial" w:cs="Arial"/>
          <w:sz w:val="24"/>
          <w:szCs w:val="24"/>
        </w:rPr>
      </w:pPr>
    </w:p>
    <w:p w14:paraId="3499BCD3" w14:textId="77777777" w:rsidR="00BE27D8" w:rsidRDefault="00BE27D8" w:rsidP="00183765">
      <w:pPr>
        <w:pStyle w:val="Prrafodelista"/>
        <w:shd w:val="clear" w:color="auto" w:fill="E2EFD9" w:themeFill="accent6" w:themeFillTint="33"/>
        <w:spacing w:after="0" w:line="360" w:lineRule="auto"/>
        <w:ind w:left="0" w:firstLine="708"/>
        <w:jc w:val="both"/>
        <w:rPr>
          <w:rFonts w:ascii="Arial" w:hAnsi="Arial" w:cs="Arial"/>
          <w:sz w:val="24"/>
          <w:szCs w:val="24"/>
        </w:rPr>
      </w:pPr>
      <w:r>
        <w:rPr>
          <w:rFonts w:ascii="Arial" w:hAnsi="Arial" w:cs="Arial"/>
          <w:sz w:val="24"/>
          <w:szCs w:val="24"/>
        </w:rPr>
        <w:t>“La idea de entender las personas como humanos, como humanos racionales, y humanos con derechos, será una concepción del mundo compartida por occidente a finales del siglo XVIII” (Gómez Betancur, 2016:61).</w:t>
      </w:r>
    </w:p>
    <w:p w14:paraId="3F1387B3" w14:textId="77777777" w:rsidR="003A2B15" w:rsidRDefault="003A2B15" w:rsidP="00BE27D8">
      <w:pPr>
        <w:spacing w:after="0" w:line="360" w:lineRule="auto"/>
        <w:jc w:val="both"/>
        <w:rPr>
          <w:rFonts w:ascii="Arial" w:hAnsi="Arial" w:cs="Arial"/>
          <w:sz w:val="24"/>
          <w:szCs w:val="24"/>
        </w:rPr>
      </w:pPr>
    </w:p>
    <w:p w14:paraId="08EDCCBD" w14:textId="20D867DF" w:rsidR="00BE27D8" w:rsidRDefault="003A2B15" w:rsidP="00BE27D8">
      <w:pPr>
        <w:spacing w:after="0" w:line="360" w:lineRule="auto"/>
        <w:jc w:val="both"/>
        <w:rPr>
          <w:rFonts w:ascii="Arial" w:hAnsi="Arial" w:cs="Arial"/>
          <w:sz w:val="24"/>
          <w:szCs w:val="24"/>
        </w:rPr>
      </w:pPr>
      <w:r>
        <w:rPr>
          <w:rFonts w:ascii="Arial" w:hAnsi="Arial" w:cs="Arial"/>
          <w:sz w:val="24"/>
          <w:szCs w:val="24"/>
        </w:rPr>
        <w:tab/>
      </w:r>
      <w:r w:rsidR="007E6AE7">
        <w:rPr>
          <w:rFonts w:ascii="Arial" w:hAnsi="Arial" w:cs="Arial"/>
          <w:sz w:val="24"/>
          <w:szCs w:val="24"/>
        </w:rPr>
        <w:t>A su vez, las nuevas condiciones históricas, favorecen el despertar del conocimiento científico, en un proceso que también forma parte de la ruptura con la cosmovisión medieval, con una forma de explicar el mundo y el ser humano a partir de la concepción religiosa cristiana. El éxito alcanzado en el ámbito de las ciencias naturales, llevará a trasladar su método a la esfera de los fenómenos sociales, inaugurando la observación de la sociedad con criterios científicos. Lo abordaremos en la próxima clase.</w:t>
      </w:r>
    </w:p>
    <w:p w14:paraId="3E1426EC" w14:textId="1106E5B4" w:rsidR="005017B2" w:rsidRPr="00661D34" w:rsidRDefault="005017B2" w:rsidP="00BE27D8">
      <w:pPr>
        <w:spacing w:after="0" w:line="360" w:lineRule="auto"/>
        <w:jc w:val="both"/>
        <w:rPr>
          <w:rFonts w:ascii="Arial" w:hAnsi="Arial" w:cs="Arial"/>
          <w:sz w:val="24"/>
          <w:szCs w:val="24"/>
        </w:rPr>
      </w:pPr>
      <w:r>
        <w:rPr>
          <w:rFonts w:ascii="Arial" w:hAnsi="Arial" w:cs="Arial"/>
          <w:sz w:val="24"/>
          <w:szCs w:val="24"/>
        </w:rPr>
        <w:tab/>
        <w:t>Queremos subrayar la centralidad que adquiere la Conquista de América en relación a las grandes transformaciones económicas, políticas e intelectuales</w:t>
      </w:r>
      <w:r w:rsidR="00622940">
        <w:rPr>
          <w:rFonts w:ascii="Arial" w:hAnsi="Arial" w:cs="Arial"/>
          <w:sz w:val="24"/>
          <w:szCs w:val="24"/>
        </w:rPr>
        <w:t xml:space="preserve"> sobre las que se erige e</w:t>
      </w:r>
      <w:r>
        <w:rPr>
          <w:rFonts w:ascii="Arial" w:hAnsi="Arial" w:cs="Arial"/>
          <w:sz w:val="24"/>
          <w:szCs w:val="24"/>
        </w:rPr>
        <w:t xml:space="preserve">l mundo Moderno. </w:t>
      </w:r>
      <w:r w:rsidR="009F6497">
        <w:rPr>
          <w:rFonts w:ascii="Arial" w:hAnsi="Arial" w:cs="Arial"/>
          <w:sz w:val="24"/>
          <w:szCs w:val="24"/>
        </w:rPr>
        <w:t>De acuerdo con Enrique Dussel (2000) e</w:t>
      </w:r>
      <w:r>
        <w:rPr>
          <w:rFonts w:ascii="Arial" w:hAnsi="Arial" w:cs="Arial"/>
          <w:sz w:val="24"/>
          <w:szCs w:val="24"/>
        </w:rPr>
        <w:t xml:space="preserve">l punto de partida de la Modernidad no se explica únicamente por referencia a fenómenos </w:t>
      </w:r>
      <w:proofErr w:type="spellStart"/>
      <w:r>
        <w:rPr>
          <w:rFonts w:ascii="Arial" w:hAnsi="Arial" w:cs="Arial"/>
          <w:sz w:val="24"/>
          <w:szCs w:val="24"/>
        </w:rPr>
        <w:t>intra-europeos</w:t>
      </w:r>
      <w:proofErr w:type="spellEnd"/>
      <w:r>
        <w:rPr>
          <w:rFonts w:ascii="Arial" w:hAnsi="Arial" w:cs="Arial"/>
          <w:sz w:val="24"/>
          <w:szCs w:val="24"/>
        </w:rPr>
        <w:t xml:space="preserve"> (el Renacimiento, la Reforma, la Ilustración</w:t>
      </w:r>
      <w:r w:rsidR="005334A6">
        <w:rPr>
          <w:rFonts w:ascii="Arial" w:hAnsi="Arial" w:cs="Arial"/>
          <w:sz w:val="24"/>
          <w:szCs w:val="24"/>
        </w:rPr>
        <w:t>, la Revolución francesa</w:t>
      </w:r>
      <w:r w:rsidR="00BC3B79">
        <w:rPr>
          <w:rFonts w:ascii="Arial" w:hAnsi="Arial" w:cs="Arial"/>
          <w:sz w:val="24"/>
          <w:szCs w:val="24"/>
        </w:rPr>
        <w:t>)</w:t>
      </w:r>
      <w:r w:rsidR="00661D34">
        <w:rPr>
          <w:rFonts w:ascii="Arial" w:hAnsi="Arial" w:cs="Arial"/>
          <w:sz w:val="24"/>
          <w:szCs w:val="24"/>
        </w:rPr>
        <w:t xml:space="preserve"> </w:t>
      </w:r>
      <w:r w:rsidR="00622940">
        <w:rPr>
          <w:rFonts w:ascii="Arial" w:hAnsi="Arial" w:cs="Arial"/>
          <w:sz w:val="24"/>
          <w:szCs w:val="24"/>
        </w:rPr>
        <w:t>Es el proceso de</w:t>
      </w:r>
      <w:r w:rsidR="00661D34">
        <w:rPr>
          <w:rFonts w:ascii="Arial" w:hAnsi="Arial" w:cs="Arial"/>
          <w:sz w:val="24"/>
          <w:szCs w:val="24"/>
        </w:rPr>
        <w:t xml:space="preserve"> conformación del mundo colonial</w:t>
      </w:r>
      <w:r w:rsidR="00622940">
        <w:rPr>
          <w:rFonts w:ascii="Arial" w:hAnsi="Arial" w:cs="Arial"/>
          <w:sz w:val="24"/>
          <w:szCs w:val="24"/>
        </w:rPr>
        <w:t xml:space="preserve"> el que inaugura la Modernidad</w:t>
      </w:r>
      <w:r w:rsidR="00661D34">
        <w:rPr>
          <w:rFonts w:ascii="Arial" w:hAnsi="Arial" w:cs="Arial"/>
          <w:sz w:val="24"/>
          <w:szCs w:val="24"/>
        </w:rPr>
        <w:t>, no sólo por las implicancias a nivel económico</w:t>
      </w:r>
      <w:r w:rsidR="00622940">
        <w:rPr>
          <w:rFonts w:ascii="Arial" w:hAnsi="Arial" w:cs="Arial"/>
          <w:sz w:val="24"/>
          <w:szCs w:val="24"/>
        </w:rPr>
        <w:t xml:space="preserve"> y político</w:t>
      </w:r>
      <w:r w:rsidR="00661D34">
        <w:rPr>
          <w:rFonts w:ascii="Arial" w:hAnsi="Arial" w:cs="Arial"/>
          <w:sz w:val="24"/>
          <w:szCs w:val="24"/>
        </w:rPr>
        <w:t xml:space="preserve"> de la mercantilización mundial</w:t>
      </w:r>
      <w:r w:rsidR="00756DE1">
        <w:rPr>
          <w:rFonts w:ascii="Arial" w:hAnsi="Arial" w:cs="Arial"/>
          <w:sz w:val="24"/>
          <w:szCs w:val="24"/>
        </w:rPr>
        <w:t xml:space="preserve"> (con su contenido de explotación y violencia)</w:t>
      </w:r>
      <w:r w:rsidR="00661D34">
        <w:rPr>
          <w:rFonts w:ascii="Arial" w:hAnsi="Arial" w:cs="Arial"/>
          <w:sz w:val="24"/>
          <w:szCs w:val="24"/>
        </w:rPr>
        <w:t>, sino también por s</w:t>
      </w:r>
      <w:r w:rsidR="009F6497">
        <w:rPr>
          <w:rFonts w:ascii="Arial" w:hAnsi="Arial" w:cs="Arial"/>
          <w:sz w:val="24"/>
          <w:szCs w:val="24"/>
        </w:rPr>
        <w:t>us derivaciones</w:t>
      </w:r>
      <w:r w:rsidR="00661D34">
        <w:rPr>
          <w:rFonts w:ascii="Arial" w:hAnsi="Arial" w:cs="Arial"/>
          <w:sz w:val="24"/>
          <w:szCs w:val="24"/>
        </w:rPr>
        <w:t xml:space="preserve"> en el plano de las ideas</w:t>
      </w:r>
      <w:r w:rsidR="005C754A">
        <w:rPr>
          <w:rFonts w:ascii="Arial" w:hAnsi="Arial" w:cs="Arial"/>
          <w:sz w:val="24"/>
          <w:szCs w:val="24"/>
        </w:rPr>
        <w:t xml:space="preserve"> y de la explicación del hombre y del mundo.</w:t>
      </w:r>
      <w:r w:rsidR="00756DE1">
        <w:rPr>
          <w:rFonts w:ascii="Arial" w:hAnsi="Arial" w:cs="Arial"/>
          <w:sz w:val="24"/>
          <w:szCs w:val="24"/>
        </w:rPr>
        <w:t xml:space="preserve"> “</w:t>
      </w:r>
      <w:r w:rsidR="00661D34" w:rsidRPr="00661D34">
        <w:rPr>
          <w:rFonts w:ascii="Arial" w:hAnsi="Arial" w:cs="Arial"/>
          <w:sz w:val="24"/>
          <w:szCs w:val="24"/>
        </w:rPr>
        <w:t xml:space="preserve">Para nosotros, la "centralidad" de la Europa latina en la Historia Mundial es la determinación fundamental de la Modernidad. Las demás </w:t>
      </w:r>
      <w:r w:rsidR="00661D34" w:rsidRPr="00661D34">
        <w:rPr>
          <w:rFonts w:ascii="Arial" w:hAnsi="Arial" w:cs="Arial"/>
          <w:sz w:val="24"/>
          <w:szCs w:val="24"/>
        </w:rPr>
        <w:lastRenderedPageBreak/>
        <w:t>determinaciones se van dando en torno a ella (la subjetividad constituyente, la propiedad privada, la libertad del contrato, etc.). El siglo XVII (p.e</w:t>
      </w:r>
      <w:r w:rsidR="005B3FBA">
        <w:rPr>
          <w:rFonts w:ascii="Arial" w:hAnsi="Arial" w:cs="Arial"/>
          <w:sz w:val="24"/>
          <w:szCs w:val="24"/>
        </w:rPr>
        <w:t>j</w:t>
      </w:r>
      <w:r w:rsidR="00661D34" w:rsidRPr="00661D34">
        <w:rPr>
          <w:rFonts w:ascii="Arial" w:hAnsi="Arial" w:cs="Arial"/>
          <w:sz w:val="24"/>
          <w:szCs w:val="24"/>
        </w:rPr>
        <w:t>. Descartes, etc.) son ya el fruto de un siglo y medio de "Modernidad": son efecto y no punto de partida</w:t>
      </w:r>
      <w:r w:rsidR="00661D34">
        <w:rPr>
          <w:rFonts w:ascii="Arial" w:hAnsi="Arial" w:cs="Arial"/>
          <w:sz w:val="24"/>
          <w:szCs w:val="24"/>
        </w:rPr>
        <w:t>.” (Dussel, 2000:27).</w:t>
      </w:r>
    </w:p>
    <w:p w14:paraId="25D41939" w14:textId="12E748E2" w:rsidR="00BE27D8" w:rsidRDefault="005C754A" w:rsidP="004C1719">
      <w:pPr>
        <w:spacing w:after="0" w:line="360" w:lineRule="auto"/>
        <w:jc w:val="both"/>
        <w:rPr>
          <w:rFonts w:ascii="Arial" w:hAnsi="Arial" w:cs="Arial"/>
          <w:sz w:val="24"/>
          <w:szCs w:val="24"/>
        </w:rPr>
      </w:pPr>
      <w:r>
        <w:rPr>
          <w:rFonts w:ascii="Arial" w:hAnsi="Arial" w:cs="Arial"/>
          <w:sz w:val="24"/>
          <w:szCs w:val="24"/>
        </w:rPr>
        <w:tab/>
      </w:r>
    </w:p>
    <w:p w14:paraId="54D859C7" w14:textId="77777777" w:rsidR="00BE27D8" w:rsidRPr="00277059" w:rsidRDefault="00BE27D8" w:rsidP="00277059">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sidRPr="00277059">
        <w:rPr>
          <w:rFonts w:ascii="Arial Rounded MT Bold" w:hAnsi="Arial Rounded MT Bold" w:cs="Arial"/>
          <w:b/>
          <w:bCs/>
          <w:color w:val="538135" w:themeColor="accent6" w:themeShade="BF"/>
          <w:sz w:val="28"/>
          <w:szCs w:val="28"/>
        </w:rPr>
        <w:t>Breve referencia a Kant y la Alemania de su tiempo</w:t>
      </w:r>
    </w:p>
    <w:p w14:paraId="0AF8F85E" w14:textId="77777777" w:rsidR="00BE27D8" w:rsidRDefault="00BE27D8" w:rsidP="00BE27D8">
      <w:pPr>
        <w:pStyle w:val="Prrafodelista"/>
        <w:spacing w:after="0" w:line="360" w:lineRule="auto"/>
        <w:ind w:left="0" w:firstLine="708"/>
        <w:jc w:val="both"/>
        <w:rPr>
          <w:rFonts w:ascii="Arial" w:hAnsi="Arial" w:cs="Arial"/>
          <w:sz w:val="24"/>
          <w:szCs w:val="24"/>
          <w:u w:val="single"/>
        </w:rPr>
      </w:pPr>
    </w:p>
    <w:p w14:paraId="0C5CF628" w14:textId="77777777" w:rsidR="00BE27D8"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Lo que hoy conocemos como Alemania, era en el siglo XVIII una aglomeración de numerosos pequeños estados que, si bien pertenecían a la unidad política conocida como Sacro Imperio Romano Germánico, sus gobernantes tenían un alto grado de autonomía respecto del emperador. Para ese tiempo, va aflorando la supremacía de los estados orientales de Brandeburgo y Prusia, bajo la constitución de una fuerte monarquía absoluta.</w:t>
      </w:r>
    </w:p>
    <w:p w14:paraId="655C255C" w14:textId="77777777" w:rsidR="00BE27D8"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El nacimiento del Reino de Prusia a comienzos del siglo XVIII se inscribe en el convulsionado proceso que conducirá a la conformación de los estados modernos. No obstante, como no se trata de procesos lineales, la creciente concentración del poder monárquico, y la emergencia del principio de soberanía territorial, coexisten con el mantenimiento de privilegios tradicionales por parte de la nobleza.</w:t>
      </w:r>
    </w:p>
    <w:p w14:paraId="1B12298B" w14:textId="36D9F439" w:rsidR="00BE27D8" w:rsidRDefault="00BE27D8" w:rsidP="00BE27D8">
      <w:pPr>
        <w:pStyle w:val="Prrafodelista"/>
        <w:spacing w:after="0" w:line="360" w:lineRule="auto"/>
        <w:ind w:left="0" w:firstLine="708"/>
        <w:jc w:val="both"/>
        <w:rPr>
          <w:rFonts w:ascii="Arial" w:hAnsi="Arial" w:cs="Arial"/>
          <w:sz w:val="24"/>
          <w:szCs w:val="24"/>
        </w:rPr>
      </w:pPr>
      <w:r>
        <w:rPr>
          <w:rFonts w:ascii="Arial" w:hAnsi="Arial" w:cs="Arial"/>
          <w:sz w:val="24"/>
          <w:szCs w:val="24"/>
        </w:rPr>
        <w:t>Entre 1740 y 1786 el Reino de Prusia estuvo gobernado por Federico II “El Grande”, bajo la modalidad del despotismo ilustrado. Prusia poseía una economía principalmente feudal, con una burguesía y una industria menos desarrolladas que en otras regiones de Europa.</w:t>
      </w:r>
    </w:p>
    <w:p w14:paraId="50E335A7" w14:textId="77777777" w:rsidR="004164B8" w:rsidRDefault="004164B8" w:rsidP="00BE27D8">
      <w:pPr>
        <w:pStyle w:val="Prrafodelista"/>
        <w:spacing w:after="0" w:line="360" w:lineRule="auto"/>
        <w:ind w:left="0" w:firstLine="708"/>
        <w:jc w:val="both"/>
        <w:rPr>
          <w:rFonts w:ascii="Arial" w:hAnsi="Arial" w:cs="Arial"/>
          <w:sz w:val="24"/>
          <w:szCs w:val="24"/>
        </w:rPr>
      </w:pPr>
    </w:p>
    <w:p w14:paraId="06E4DA95" w14:textId="2FC4F2C2" w:rsidR="004164B8" w:rsidRDefault="004164B8" w:rsidP="004164B8">
      <w:pPr>
        <w:pStyle w:val="Prrafodelista"/>
        <w:spacing w:after="0" w:line="360" w:lineRule="auto"/>
        <w:ind w:left="0" w:firstLine="708"/>
        <w:jc w:val="both"/>
        <w:rPr>
          <w:rFonts w:ascii="Arial" w:hAnsi="Arial" w:cs="Arial"/>
          <w:sz w:val="24"/>
          <w:szCs w:val="24"/>
        </w:rPr>
      </w:pPr>
      <w:r>
        <w:rPr>
          <w:rFonts w:ascii="Arial" w:hAnsi="Arial" w:cs="Arial"/>
          <w:sz w:val="24"/>
          <w:szCs w:val="24"/>
        </w:rPr>
        <w:t>Immanuel Kant nació en 1724 en la ciudad prusiana de Königsberg, donde murió en 1804. Su pensamiento será una contribución clave en una nueva concepción del ser humano</w:t>
      </w:r>
      <w:r>
        <w:rPr>
          <w:rFonts w:ascii="Arial" w:hAnsi="Arial" w:cs="Arial"/>
          <w:noProof/>
        </w:rPr>
        <w:drawing>
          <wp:anchor distT="0" distB="0" distL="114300" distR="114300" simplePos="0" relativeHeight="251658240" behindDoc="0" locked="0" layoutInCell="1" allowOverlap="1" wp14:anchorId="49552519" wp14:editId="351A8637">
            <wp:simplePos x="1528763" y="3790950"/>
            <wp:positionH relativeFrom="column">
              <wp:align>left</wp:align>
            </wp:positionH>
            <wp:positionV relativeFrom="paragraph">
              <wp:align>top</wp:align>
            </wp:positionV>
            <wp:extent cx="2333625" cy="1952625"/>
            <wp:effectExtent l="0" t="0" r="9525"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3625" cy="1952625"/>
                    </a:xfrm>
                    <a:prstGeom prst="rect">
                      <a:avLst/>
                    </a:prstGeom>
                    <a:noFill/>
                    <a:ln>
                      <a:noFill/>
                    </a:ln>
                  </pic:spPr>
                </pic:pic>
              </a:graphicData>
            </a:graphic>
          </wp:anchor>
        </w:drawing>
      </w:r>
      <w:r>
        <w:rPr>
          <w:rFonts w:ascii="Arial" w:hAnsi="Arial" w:cs="Arial"/>
          <w:noProof/>
        </w:rPr>
        <w:t>.</w:t>
      </w:r>
      <w:r w:rsidRPr="004164B8">
        <w:rPr>
          <w:rFonts w:ascii="Arial" w:hAnsi="Arial" w:cs="Arial"/>
          <w:sz w:val="24"/>
          <w:szCs w:val="24"/>
        </w:rPr>
        <w:t xml:space="preserve"> </w:t>
      </w:r>
      <w:r>
        <w:rPr>
          <w:rFonts w:ascii="Arial" w:hAnsi="Arial" w:cs="Arial"/>
          <w:sz w:val="24"/>
          <w:szCs w:val="24"/>
        </w:rPr>
        <w:t>En él confluyen los grandes movimientos de la modernidad: el racionalismo, el empirismo y el pensamiento de la Ilustración.</w:t>
      </w:r>
    </w:p>
    <w:p w14:paraId="656DFDBD" w14:textId="14A241DA" w:rsidR="004164B8" w:rsidRDefault="004164B8" w:rsidP="00BE27D8">
      <w:pPr>
        <w:pStyle w:val="Prrafodelista"/>
        <w:spacing w:after="0" w:line="360" w:lineRule="auto"/>
        <w:ind w:left="0" w:firstLine="708"/>
        <w:jc w:val="both"/>
        <w:rPr>
          <w:rFonts w:ascii="Arial" w:hAnsi="Arial" w:cs="Arial"/>
          <w:noProof/>
        </w:rPr>
      </w:pPr>
    </w:p>
    <w:p w14:paraId="3316656E" w14:textId="23E4E9EF" w:rsidR="00BE27D8" w:rsidRDefault="00BE27D8" w:rsidP="004164B8">
      <w:pPr>
        <w:pStyle w:val="Prrafodelista"/>
        <w:spacing w:after="0" w:line="360" w:lineRule="auto"/>
        <w:ind w:left="0" w:firstLine="708"/>
        <w:jc w:val="both"/>
        <w:rPr>
          <w:rFonts w:ascii="Arial" w:hAnsi="Arial" w:cs="Arial"/>
          <w:sz w:val="24"/>
          <w:szCs w:val="24"/>
        </w:rPr>
      </w:pPr>
      <w:r>
        <w:rPr>
          <w:rFonts w:ascii="Arial" w:hAnsi="Arial" w:cs="Arial"/>
          <w:sz w:val="24"/>
          <w:szCs w:val="24"/>
        </w:rPr>
        <w:lastRenderedPageBreak/>
        <w:t xml:space="preserve">Dedicó casi tres décadas a la docencia universitaria en Königsberg, donde dio clases de las más variadas materias: antropología, ética, filosofía del derecho, filosofía de la religión, geografía, lógica, pedagogía, metafísica. </w:t>
      </w:r>
    </w:p>
    <w:p w14:paraId="7D3DF27E" w14:textId="77777777" w:rsidR="00BE27D8" w:rsidRDefault="00BE27D8" w:rsidP="00BE27D8">
      <w:pPr>
        <w:spacing w:after="0" w:line="360" w:lineRule="auto"/>
        <w:ind w:firstLine="708"/>
        <w:jc w:val="both"/>
        <w:rPr>
          <w:rFonts w:ascii="Arial" w:hAnsi="Arial" w:cs="Arial"/>
          <w:sz w:val="24"/>
          <w:szCs w:val="24"/>
        </w:rPr>
      </w:pPr>
      <w:r>
        <w:rPr>
          <w:rFonts w:ascii="Arial" w:hAnsi="Arial" w:cs="Arial"/>
          <w:sz w:val="24"/>
          <w:szCs w:val="24"/>
        </w:rPr>
        <w:t xml:space="preserve">De las numerosas biografías que se han publicado de Kant, recuperamos parte del testimonio de Johann </w:t>
      </w:r>
      <w:proofErr w:type="spellStart"/>
      <w:r>
        <w:rPr>
          <w:rFonts w:ascii="Arial" w:hAnsi="Arial" w:cs="Arial"/>
          <w:sz w:val="24"/>
          <w:szCs w:val="24"/>
        </w:rPr>
        <w:t>von</w:t>
      </w:r>
      <w:proofErr w:type="spellEnd"/>
      <w:r>
        <w:rPr>
          <w:rFonts w:ascii="Arial" w:hAnsi="Arial" w:cs="Arial"/>
          <w:sz w:val="24"/>
          <w:szCs w:val="24"/>
        </w:rPr>
        <w:t xml:space="preserve"> Herder -quien fuera su alumno en la Universidad- que ofrece un perfil del Kant profesor, al tiempo que dibuja las orientaciones de su filiación intelectual:</w:t>
      </w:r>
    </w:p>
    <w:p w14:paraId="4C8CBB31" w14:textId="77777777" w:rsidR="00BE27D8" w:rsidRDefault="00BE27D8" w:rsidP="00BE27D8">
      <w:pPr>
        <w:spacing w:after="0" w:line="360" w:lineRule="auto"/>
        <w:jc w:val="both"/>
        <w:rPr>
          <w:rFonts w:ascii="Arial" w:hAnsi="Arial" w:cs="Arial"/>
          <w:sz w:val="24"/>
          <w:szCs w:val="24"/>
        </w:rPr>
      </w:pPr>
    </w:p>
    <w:p w14:paraId="4DF62489" w14:textId="77777777" w:rsidR="00BE27D8" w:rsidRDefault="00BE27D8" w:rsidP="00183765">
      <w:pPr>
        <w:shd w:val="clear" w:color="auto" w:fill="E2EFD9" w:themeFill="accent6" w:themeFillTint="33"/>
        <w:ind w:left="708"/>
        <w:jc w:val="both"/>
        <w:rPr>
          <w:rFonts w:ascii="Arial" w:hAnsi="Arial" w:cs="Arial"/>
          <w:sz w:val="24"/>
          <w:szCs w:val="24"/>
        </w:rPr>
      </w:pPr>
      <w:r>
        <w:rPr>
          <w:rFonts w:ascii="Arial" w:hAnsi="Arial" w:cs="Arial"/>
          <w:sz w:val="24"/>
          <w:szCs w:val="24"/>
        </w:rPr>
        <w:t>Tuve la suerte de tener como profesor a un gran filósofo al que considero un auténtico maestro de la humanidad. Este hombre poseía por aquel entonces la viveza propia de un muchacho, cualidad que parece no haberle abandonado en su madurez. Su ancha frente, hecha para pensar, era la sede de un gozo y de una amenidad inagotables; de sus labios fluía un discurso pletórico de pensamientos. Las anécdotas, el humor y el ingenio se hallaban constantemente a su servicio, de manera que sus lecciones resultaban siempre tan instructivas como entretenidas. En sus clases se analizaban las últimas obras de Rousseau con un entusiasmo sólo comparable a la minuciosidad aplicada al examen de las doctrinas de Leibniz, Wolff, Baumgarten o Hume, por no mentar la perspicacia derrochada a la hora de exponer las leyes naturales concebidas por Kepler y Newton; ningún hallazgo era menospreciado para mejor explicar el conocimiento de la Naturaleza y el valor moral del ser humano. La historia del hombre, de los pueblos y de la Naturaleza, las ciencias naturales, las matemáticas y la experiencia: tales eran las fuentes con que este filósofo animaba sus lecciones y su trato. Nada digno de ser conocido le era indiferente; ninguna cábala o secta, así como tampoco ventaja ni ambición algunas empañaron jamás su insobornable pasión por dilucidar y difundir la verdad. Sus alumnos no recibían otra consigna salvo la de pensar por cuenta propia; nada le fue nunca más ajeno que el despotismo. Este hombre, cuyo nombre invoco con la mayor gratitud y el máximo respeto, no es otro que Immanuel Kant. (Cartas relativas al fomento de la humanidad, 79; SW XVII, 404, citado en Aramayo, 2001: 293-294).</w:t>
      </w:r>
    </w:p>
    <w:p w14:paraId="76E47E86" w14:textId="77777777" w:rsidR="00BE27D8" w:rsidRDefault="00BE27D8" w:rsidP="00BE27D8">
      <w:pPr>
        <w:jc w:val="both"/>
        <w:rPr>
          <w:rFonts w:ascii="Arial" w:hAnsi="Arial" w:cs="Arial"/>
          <w:sz w:val="24"/>
          <w:szCs w:val="24"/>
        </w:rPr>
      </w:pPr>
    </w:p>
    <w:p w14:paraId="36D6C3F4" w14:textId="1D2DD8B6" w:rsidR="00BE27D8" w:rsidRDefault="00BE27D8" w:rsidP="00BE27D8">
      <w:pPr>
        <w:jc w:val="both"/>
      </w:pPr>
    </w:p>
    <w:p w14:paraId="02DF871A" w14:textId="544EA0C6" w:rsidR="00421478" w:rsidRDefault="00421478" w:rsidP="00BE27D8">
      <w:pPr>
        <w:jc w:val="both"/>
      </w:pPr>
    </w:p>
    <w:p w14:paraId="677AABD7" w14:textId="681F34C4" w:rsidR="00421478" w:rsidRDefault="00421478" w:rsidP="00BE27D8">
      <w:pPr>
        <w:jc w:val="both"/>
      </w:pPr>
    </w:p>
    <w:p w14:paraId="10381EFE" w14:textId="5409BD4E" w:rsidR="00421478" w:rsidRDefault="00421478" w:rsidP="00BE27D8">
      <w:pPr>
        <w:jc w:val="both"/>
      </w:pPr>
    </w:p>
    <w:p w14:paraId="14B03AAC" w14:textId="47C78A16" w:rsidR="00421478" w:rsidRDefault="00421478" w:rsidP="00BE27D8">
      <w:pPr>
        <w:jc w:val="both"/>
      </w:pPr>
    </w:p>
    <w:p w14:paraId="4D095146" w14:textId="797FB7C1" w:rsidR="00421478" w:rsidRDefault="00421478" w:rsidP="00BE27D8">
      <w:pPr>
        <w:jc w:val="both"/>
      </w:pPr>
    </w:p>
    <w:p w14:paraId="33B95256" w14:textId="77777777" w:rsidR="00421478" w:rsidRDefault="00421478" w:rsidP="00BE27D8">
      <w:pPr>
        <w:jc w:val="both"/>
      </w:pPr>
    </w:p>
    <w:p w14:paraId="6828496B" w14:textId="6DA171D1" w:rsidR="00BE27D8" w:rsidRDefault="00BE27D8" w:rsidP="00277059">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sidRPr="00277059">
        <w:rPr>
          <w:rFonts w:ascii="Arial Rounded MT Bold" w:hAnsi="Arial Rounded MT Bold" w:cs="Arial"/>
          <w:b/>
          <w:bCs/>
          <w:color w:val="538135" w:themeColor="accent6" w:themeShade="BF"/>
          <w:sz w:val="28"/>
          <w:szCs w:val="28"/>
        </w:rPr>
        <w:lastRenderedPageBreak/>
        <w:t>El artículo</w:t>
      </w:r>
    </w:p>
    <w:p w14:paraId="6C958FA5" w14:textId="77777777" w:rsidR="00BE27D8" w:rsidRDefault="00BE27D8" w:rsidP="00BE27D8">
      <w:pPr>
        <w:spacing w:after="0" w:line="360" w:lineRule="auto"/>
        <w:ind w:firstLine="708"/>
        <w:jc w:val="both"/>
        <w:rPr>
          <w:rFonts w:ascii="Arial" w:hAnsi="Arial" w:cs="Arial"/>
          <w:sz w:val="24"/>
          <w:szCs w:val="24"/>
        </w:rPr>
      </w:pPr>
    </w:p>
    <w:p w14:paraId="40B49DDC" w14:textId="77777777" w:rsidR="00BE27D8" w:rsidRDefault="00BE27D8" w:rsidP="00BE27D8">
      <w:pPr>
        <w:spacing w:after="0" w:line="360" w:lineRule="auto"/>
        <w:ind w:firstLine="708"/>
        <w:jc w:val="both"/>
        <w:rPr>
          <w:rFonts w:ascii="Arial" w:hAnsi="Arial" w:cs="Arial"/>
          <w:sz w:val="24"/>
          <w:szCs w:val="24"/>
        </w:rPr>
      </w:pPr>
      <w:r>
        <w:rPr>
          <w:rFonts w:ascii="Arial" w:hAnsi="Arial" w:cs="Arial"/>
          <w:sz w:val="24"/>
          <w:szCs w:val="24"/>
        </w:rPr>
        <w:t xml:space="preserve">El artículo de Kant que les proponemos para la lectura es un ensayo que fue publicado en el año 1784 en la </w:t>
      </w:r>
      <w:r>
        <w:rPr>
          <w:rFonts w:ascii="Arial" w:hAnsi="Arial" w:cs="Arial"/>
          <w:i/>
          <w:iCs/>
          <w:sz w:val="24"/>
          <w:szCs w:val="24"/>
        </w:rPr>
        <w:t xml:space="preserve">Revista Mensual de Berlín </w:t>
      </w:r>
      <w:r>
        <w:rPr>
          <w:rFonts w:ascii="Arial" w:hAnsi="Arial" w:cs="Arial"/>
          <w:sz w:val="24"/>
          <w:szCs w:val="24"/>
        </w:rPr>
        <w:t xml:space="preserve">bajo el título “Respuesta a la pregunta ¿qué es la Ilustración?”. El artículo constituye la respuesta que elaboró Kant ante la pregunta ¿Qué es la Ilustración?  que había formulado </w:t>
      </w:r>
      <w:proofErr w:type="spellStart"/>
      <w:r>
        <w:rPr>
          <w:rFonts w:ascii="Arial" w:hAnsi="Arial" w:cs="Arial"/>
          <w:sz w:val="24"/>
          <w:szCs w:val="24"/>
        </w:rPr>
        <w:t>Zöllner</w:t>
      </w:r>
      <w:proofErr w:type="spellEnd"/>
      <w:r>
        <w:rPr>
          <w:rFonts w:ascii="Arial" w:hAnsi="Arial" w:cs="Arial"/>
          <w:sz w:val="24"/>
          <w:szCs w:val="24"/>
        </w:rPr>
        <w:t xml:space="preserve"> en la mencionada Revista. La pregunta obtuvo varias respuestas, entre ellas la de Kant.</w:t>
      </w:r>
    </w:p>
    <w:p w14:paraId="6C18D091" w14:textId="77777777" w:rsidR="00BE27D8" w:rsidRDefault="00BE27D8" w:rsidP="00BE27D8">
      <w:pPr>
        <w:jc w:val="both"/>
      </w:pPr>
    </w:p>
    <w:p w14:paraId="0F064E1A" w14:textId="77777777" w:rsidR="00BE27D8" w:rsidRDefault="00BE27D8" w:rsidP="00183765">
      <w:pPr>
        <w:shd w:val="clear" w:color="auto" w:fill="E2EFD9" w:themeFill="accent6" w:themeFillTint="33"/>
        <w:ind w:left="708"/>
        <w:jc w:val="both"/>
        <w:rPr>
          <w:rFonts w:ascii="Arial" w:hAnsi="Arial" w:cs="Arial"/>
          <w:sz w:val="24"/>
          <w:szCs w:val="24"/>
        </w:rPr>
      </w:pPr>
      <w:r>
        <w:rPr>
          <w:rFonts w:ascii="Arial" w:hAnsi="Arial" w:cs="Arial"/>
          <w:sz w:val="24"/>
          <w:szCs w:val="24"/>
        </w:rPr>
        <w:t xml:space="preserve">Kant ha cumplido sesenta años y es bien conocido como el autor de la </w:t>
      </w:r>
      <w:r w:rsidRPr="00EE2A4D">
        <w:rPr>
          <w:rFonts w:ascii="Arial" w:hAnsi="Arial" w:cs="Arial"/>
          <w:i/>
          <w:iCs/>
          <w:sz w:val="24"/>
          <w:szCs w:val="24"/>
        </w:rPr>
        <w:t>Crítica de la razón pura</w:t>
      </w:r>
      <w:r>
        <w:rPr>
          <w:rFonts w:ascii="Arial" w:hAnsi="Arial" w:cs="Arial"/>
          <w:sz w:val="24"/>
          <w:szCs w:val="24"/>
        </w:rPr>
        <w:t>, cuya primera edición data de 1781. Además, aunque no ha publicado nada en la década de los setenta, su fama como docente universitario había transcendido las fronteras de su Königsberg natal, confiriéndole un enorme prestigio en toda Europa. (Aramayo, 2001: 293).</w:t>
      </w:r>
    </w:p>
    <w:p w14:paraId="7FEF05FF" w14:textId="3741EA39" w:rsidR="00BE27D8" w:rsidRDefault="00BE27D8" w:rsidP="00BE27D8">
      <w:pPr>
        <w:spacing w:after="0" w:line="360" w:lineRule="auto"/>
        <w:jc w:val="both"/>
        <w:rPr>
          <w:rFonts w:ascii="Arial" w:hAnsi="Arial" w:cs="Arial"/>
          <w:sz w:val="24"/>
          <w:szCs w:val="24"/>
        </w:rPr>
      </w:pPr>
    </w:p>
    <w:p w14:paraId="04C3EB71" w14:textId="1F352B1E" w:rsidR="004E023C" w:rsidRPr="004E023C" w:rsidRDefault="004E023C" w:rsidP="004E023C">
      <w:pPr>
        <w:pStyle w:val="Prrafodelista"/>
        <w:spacing w:after="0" w:line="360" w:lineRule="auto"/>
        <w:ind w:left="357"/>
        <w:jc w:val="both"/>
        <w:rPr>
          <w:rFonts w:ascii="Arial" w:hAnsi="Arial" w:cs="Arial"/>
          <w:sz w:val="24"/>
          <w:szCs w:val="24"/>
        </w:rPr>
      </w:pPr>
      <w:r>
        <w:rPr>
          <w:rFonts w:ascii="Arial" w:hAnsi="Arial" w:cs="Arial"/>
          <w:sz w:val="24"/>
          <w:szCs w:val="24"/>
        </w:rPr>
        <w:tab/>
      </w:r>
      <w:r w:rsidRPr="004E023C">
        <w:rPr>
          <w:rFonts w:ascii="Arial" w:hAnsi="Arial" w:cs="Arial"/>
          <w:sz w:val="24"/>
          <w:szCs w:val="24"/>
        </w:rPr>
        <w:t xml:space="preserve">En el siguiente enlace les ofrezco una presentación de la temática abordada por Kant en </w:t>
      </w:r>
      <w:r>
        <w:rPr>
          <w:rFonts w:ascii="Arial" w:hAnsi="Arial" w:cs="Arial"/>
          <w:sz w:val="24"/>
          <w:szCs w:val="24"/>
        </w:rPr>
        <w:t>e</w:t>
      </w:r>
      <w:r w:rsidRPr="004E023C">
        <w:rPr>
          <w:rFonts w:ascii="Arial" w:hAnsi="Arial" w:cs="Arial"/>
          <w:sz w:val="24"/>
          <w:szCs w:val="24"/>
        </w:rPr>
        <w:t>l artículo</w:t>
      </w:r>
      <w:r>
        <w:rPr>
          <w:rFonts w:ascii="Arial" w:hAnsi="Arial" w:cs="Arial"/>
          <w:sz w:val="24"/>
          <w:szCs w:val="24"/>
        </w:rPr>
        <w:t>:</w:t>
      </w:r>
    </w:p>
    <w:p w14:paraId="6B2C0BB7" w14:textId="77777777" w:rsidR="004E023C" w:rsidRPr="004E023C" w:rsidRDefault="004E023C" w:rsidP="004E023C">
      <w:pPr>
        <w:pStyle w:val="Prrafodelista"/>
        <w:spacing w:after="0" w:line="240" w:lineRule="auto"/>
        <w:ind w:left="357"/>
        <w:jc w:val="both"/>
        <w:rPr>
          <w:rFonts w:ascii="Arial" w:hAnsi="Arial" w:cs="Arial"/>
          <w:b/>
          <w:bCs/>
          <w:sz w:val="24"/>
          <w:szCs w:val="24"/>
        </w:rPr>
      </w:pPr>
    </w:p>
    <w:p w14:paraId="13CA5821" w14:textId="77777777" w:rsidR="004E023C" w:rsidRDefault="002D3501" w:rsidP="004E023C">
      <w:pPr>
        <w:pStyle w:val="Prrafodelista"/>
        <w:spacing w:after="0" w:line="240" w:lineRule="auto"/>
        <w:ind w:left="357"/>
        <w:jc w:val="both"/>
        <w:rPr>
          <w:rFonts w:ascii="Arial Rounded MT Bold" w:hAnsi="Arial Rounded MT Bold" w:cs="Arial"/>
          <w:b/>
          <w:bCs/>
          <w:color w:val="538135" w:themeColor="accent6" w:themeShade="BF"/>
          <w:sz w:val="28"/>
          <w:szCs w:val="28"/>
        </w:rPr>
      </w:pPr>
      <w:hyperlink r:id="rId11" w:history="1">
        <w:r w:rsidR="004E023C" w:rsidRPr="00C61E70">
          <w:rPr>
            <w:rStyle w:val="Hipervnculo"/>
            <w:rFonts w:ascii="Arial Rounded MT Bold" w:hAnsi="Arial Rounded MT Bold" w:cs="Arial"/>
            <w:b/>
            <w:bCs/>
            <w:color w:val="034990" w:themeColor="hyperlink" w:themeShade="BF"/>
            <w:sz w:val="28"/>
            <w:szCs w:val="28"/>
          </w:rPr>
          <w:t>https://youtu.be/WHWOYRH1vHc</w:t>
        </w:r>
      </w:hyperlink>
    </w:p>
    <w:p w14:paraId="57775CB0" w14:textId="77777777" w:rsidR="004E023C" w:rsidRDefault="00BE27D8" w:rsidP="00BE27D8">
      <w:pPr>
        <w:spacing w:after="0" w:line="360" w:lineRule="auto"/>
        <w:jc w:val="both"/>
        <w:rPr>
          <w:rFonts w:ascii="Arial" w:hAnsi="Arial" w:cs="Arial"/>
          <w:sz w:val="24"/>
          <w:szCs w:val="24"/>
        </w:rPr>
      </w:pPr>
      <w:r>
        <w:rPr>
          <w:rFonts w:ascii="Arial" w:hAnsi="Arial" w:cs="Arial"/>
          <w:sz w:val="24"/>
          <w:szCs w:val="24"/>
        </w:rPr>
        <w:tab/>
      </w:r>
    </w:p>
    <w:p w14:paraId="0FC5FD94" w14:textId="74FC604A" w:rsidR="00BE27D8" w:rsidRDefault="004E023C" w:rsidP="00BE27D8">
      <w:pPr>
        <w:spacing w:after="0" w:line="360" w:lineRule="auto"/>
        <w:jc w:val="both"/>
        <w:rPr>
          <w:rFonts w:ascii="Arial" w:hAnsi="Arial" w:cs="Arial"/>
          <w:i/>
          <w:iCs/>
          <w:sz w:val="24"/>
          <w:szCs w:val="24"/>
        </w:rPr>
      </w:pPr>
      <w:r>
        <w:rPr>
          <w:rFonts w:ascii="Arial" w:hAnsi="Arial" w:cs="Arial"/>
          <w:sz w:val="24"/>
          <w:szCs w:val="24"/>
        </w:rPr>
        <w:tab/>
      </w:r>
      <w:r w:rsidR="005B3FBA">
        <w:rPr>
          <w:rFonts w:ascii="Arial" w:hAnsi="Arial" w:cs="Arial"/>
          <w:sz w:val="24"/>
          <w:szCs w:val="24"/>
        </w:rPr>
        <w:t>La noción</w:t>
      </w:r>
      <w:r w:rsidR="00615263">
        <w:rPr>
          <w:rFonts w:ascii="Arial" w:hAnsi="Arial" w:cs="Arial"/>
          <w:sz w:val="24"/>
          <w:szCs w:val="24"/>
        </w:rPr>
        <w:t xml:space="preserve"> de Ilustración</w:t>
      </w:r>
      <w:r w:rsidR="005B3FBA">
        <w:rPr>
          <w:rFonts w:ascii="Arial" w:hAnsi="Arial" w:cs="Arial"/>
          <w:sz w:val="24"/>
          <w:szCs w:val="24"/>
        </w:rPr>
        <w:t xml:space="preserve"> que ofrece Kant,</w:t>
      </w:r>
      <w:r w:rsidR="00615263">
        <w:rPr>
          <w:rFonts w:ascii="Arial" w:hAnsi="Arial" w:cs="Arial"/>
          <w:sz w:val="24"/>
          <w:szCs w:val="24"/>
        </w:rPr>
        <w:t xml:space="preserve"> está asociad</w:t>
      </w:r>
      <w:r w:rsidR="005B3FBA">
        <w:rPr>
          <w:rFonts w:ascii="Arial" w:hAnsi="Arial" w:cs="Arial"/>
          <w:sz w:val="24"/>
          <w:szCs w:val="24"/>
        </w:rPr>
        <w:t>a</w:t>
      </w:r>
      <w:r w:rsidR="00615263">
        <w:rPr>
          <w:rFonts w:ascii="Arial" w:hAnsi="Arial" w:cs="Arial"/>
          <w:sz w:val="24"/>
          <w:szCs w:val="24"/>
        </w:rPr>
        <w:t xml:space="preserve"> a la Modernidad, a una nueva concepción del ser humano como un individuo que ejerce su razón de forma autónoma. </w:t>
      </w:r>
      <w:r w:rsidR="004C1719">
        <w:rPr>
          <w:rFonts w:ascii="Arial" w:hAnsi="Arial" w:cs="Arial"/>
          <w:sz w:val="24"/>
          <w:szCs w:val="24"/>
        </w:rPr>
        <w:t xml:space="preserve"> L</w:t>
      </w:r>
      <w:r w:rsidR="00BE27D8">
        <w:rPr>
          <w:rFonts w:ascii="Arial" w:hAnsi="Arial" w:cs="Arial"/>
          <w:sz w:val="24"/>
          <w:szCs w:val="24"/>
        </w:rPr>
        <w:t xml:space="preserve">o que define a la Ilustración es pensar por sí mismo, es tener el valor de utilizar el propio entendimiento, y emanciparse de cualquier tutela, aunque se refiere especialmente a la tutela religiosa, que considera la más perjudicial de todas. Esos sentidos se condensan en la divisa </w:t>
      </w:r>
      <w:r w:rsidR="00EE2A4D">
        <w:rPr>
          <w:rFonts w:ascii="Arial" w:hAnsi="Arial" w:cs="Arial"/>
          <w:i/>
          <w:iCs/>
          <w:sz w:val="24"/>
          <w:szCs w:val="24"/>
        </w:rPr>
        <w:t>¡</w:t>
      </w:r>
      <w:r w:rsidR="00BE27D8">
        <w:rPr>
          <w:rFonts w:ascii="Arial" w:hAnsi="Arial" w:cs="Arial"/>
          <w:i/>
          <w:iCs/>
          <w:sz w:val="24"/>
          <w:szCs w:val="24"/>
        </w:rPr>
        <w:t>Atrévete a pensar!</w:t>
      </w:r>
    </w:p>
    <w:p w14:paraId="399DC6A5" w14:textId="288D0834" w:rsidR="00BE27D8" w:rsidRDefault="00BE27D8" w:rsidP="00BE27D8">
      <w:pPr>
        <w:spacing w:after="0" w:line="360" w:lineRule="auto"/>
        <w:ind w:firstLine="708"/>
        <w:jc w:val="both"/>
        <w:rPr>
          <w:rFonts w:ascii="Arial" w:hAnsi="Arial" w:cs="Arial"/>
          <w:sz w:val="24"/>
          <w:szCs w:val="24"/>
        </w:rPr>
      </w:pPr>
      <w:r>
        <w:rPr>
          <w:rFonts w:ascii="Arial" w:hAnsi="Arial" w:cs="Arial"/>
          <w:sz w:val="24"/>
          <w:szCs w:val="24"/>
        </w:rPr>
        <w:t>Desde el inicio del texto, propone la figura jurídica de la “mayoría/minoría de edad” como metáfora de la oposición entre autonomía y dependencia intelectual</w:t>
      </w:r>
      <w:r w:rsidR="00EE2A4D">
        <w:rPr>
          <w:rFonts w:ascii="Arial" w:hAnsi="Arial" w:cs="Arial"/>
          <w:sz w:val="24"/>
          <w:szCs w:val="24"/>
        </w:rPr>
        <w:t xml:space="preserve">, </w:t>
      </w:r>
      <w:r>
        <w:rPr>
          <w:rFonts w:ascii="Arial" w:hAnsi="Arial" w:cs="Arial"/>
          <w:sz w:val="24"/>
          <w:szCs w:val="24"/>
        </w:rPr>
        <w:t>entre la Ilustración y lo contrario a ella.</w:t>
      </w:r>
    </w:p>
    <w:p w14:paraId="74DA8466" w14:textId="3597BF23" w:rsidR="00BE27D8" w:rsidRDefault="00BE27D8" w:rsidP="00BE27D8">
      <w:pPr>
        <w:spacing w:after="0" w:line="360" w:lineRule="auto"/>
        <w:jc w:val="both"/>
        <w:rPr>
          <w:rFonts w:ascii="Arial" w:hAnsi="Arial" w:cs="Arial"/>
          <w:sz w:val="24"/>
          <w:szCs w:val="24"/>
        </w:rPr>
      </w:pPr>
      <w:r>
        <w:rPr>
          <w:rFonts w:ascii="Arial" w:hAnsi="Arial" w:cs="Arial"/>
          <w:sz w:val="24"/>
          <w:szCs w:val="24"/>
        </w:rPr>
        <w:tab/>
        <w:t>Planteamos tres núcleos relevantes para focalizar el abordaje del texto:</w:t>
      </w:r>
    </w:p>
    <w:p w14:paraId="198C745D" w14:textId="77777777" w:rsidR="00277059" w:rsidRDefault="00277059" w:rsidP="00BE27D8">
      <w:pPr>
        <w:spacing w:after="0" w:line="360" w:lineRule="auto"/>
        <w:jc w:val="both"/>
        <w:rPr>
          <w:rFonts w:ascii="Arial" w:hAnsi="Arial" w:cs="Arial"/>
          <w:sz w:val="24"/>
          <w:szCs w:val="24"/>
        </w:rPr>
      </w:pPr>
    </w:p>
    <w:p w14:paraId="7E1642CC" w14:textId="14E37C3E" w:rsidR="00BE27D8" w:rsidRDefault="00A97229" w:rsidP="00277059">
      <w:pPr>
        <w:pStyle w:val="Prrafodelista"/>
        <w:numPr>
          <w:ilvl w:val="0"/>
          <w:numId w:val="2"/>
        </w:numPr>
        <w:shd w:val="clear" w:color="auto" w:fill="92D050"/>
        <w:spacing w:after="0" w:line="360" w:lineRule="auto"/>
        <w:jc w:val="both"/>
        <w:rPr>
          <w:rFonts w:ascii="Arial" w:hAnsi="Arial" w:cs="Arial"/>
          <w:sz w:val="24"/>
          <w:szCs w:val="24"/>
        </w:rPr>
      </w:pPr>
      <w:r>
        <w:rPr>
          <w:rFonts w:ascii="Arial" w:hAnsi="Arial" w:cs="Arial"/>
          <w:sz w:val="24"/>
          <w:szCs w:val="24"/>
        </w:rPr>
        <w:t xml:space="preserve">Los obstáculos para </w:t>
      </w:r>
      <w:r w:rsidR="003F131A">
        <w:rPr>
          <w:rFonts w:ascii="Arial" w:hAnsi="Arial" w:cs="Arial"/>
          <w:sz w:val="24"/>
          <w:szCs w:val="24"/>
        </w:rPr>
        <w:t>“pensar por sí mismo”</w:t>
      </w:r>
    </w:p>
    <w:p w14:paraId="0AE5840B" w14:textId="77777777" w:rsidR="00277059" w:rsidRDefault="00BE27D8" w:rsidP="00BE27D8">
      <w:pPr>
        <w:spacing w:after="0" w:line="360" w:lineRule="auto"/>
        <w:jc w:val="both"/>
        <w:rPr>
          <w:rFonts w:ascii="Arial" w:hAnsi="Arial" w:cs="Arial"/>
          <w:sz w:val="24"/>
          <w:szCs w:val="24"/>
        </w:rPr>
      </w:pPr>
      <w:r>
        <w:rPr>
          <w:rFonts w:ascii="Arial" w:hAnsi="Arial" w:cs="Arial"/>
          <w:sz w:val="24"/>
          <w:szCs w:val="24"/>
        </w:rPr>
        <w:tab/>
      </w:r>
    </w:p>
    <w:p w14:paraId="370D9527" w14:textId="22076035" w:rsidR="00BE27D8" w:rsidRDefault="00277059" w:rsidP="00BE27D8">
      <w:pPr>
        <w:spacing w:after="0" w:line="360" w:lineRule="auto"/>
        <w:jc w:val="both"/>
        <w:rPr>
          <w:rFonts w:ascii="Arial" w:hAnsi="Arial" w:cs="Arial"/>
          <w:sz w:val="24"/>
          <w:szCs w:val="24"/>
        </w:rPr>
      </w:pPr>
      <w:r>
        <w:rPr>
          <w:rFonts w:ascii="Arial" w:hAnsi="Arial" w:cs="Arial"/>
          <w:sz w:val="24"/>
          <w:szCs w:val="24"/>
        </w:rPr>
        <w:tab/>
      </w:r>
      <w:r w:rsidR="00BE27D8">
        <w:rPr>
          <w:rFonts w:ascii="Arial" w:hAnsi="Arial" w:cs="Arial"/>
          <w:sz w:val="24"/>
          <w:szCs w:val="24"/>
        </w:rPr>
        <w:t>Dedica los primeros párrafos del texto</w:t>
      </w:r>
      <w:r w:rsidR="00EE2A4D">
        <w:rPr>
          <w:rFonts w:ascii="Arial" w:hAnsi="Arial" w:cs="Arial"/>
          <w:sz w:val="24"/>
          <w:szCs w:val="24"/>
        </w:rPr>
        <w:t>, Kant se aboca</w:t>
      </w:r>
      <w:r w:rsidR="00BE27D8">
        <w:rPr>
          <w:rFonts w:ascii="Arial" w:hAnsi="Arial" w:cs="Arial"/>
          <w:sz w:val="24"/>
          <w:szCs w:val="24"/>
        </w:rPr>
        <w:t xml:space="preserve"> a dar contenido a esa idea de minoría de edad, que, como decíamos, refiere a la falta de autonomía </w:t>
      </w:r>
      <w:r w:rsidR="00BE27D8">
        <w:rPr>
          <w:rFonts w:ascii="Arial" w:hAnsi="Arial" w:cs="Arial"/>
          <w:sz w:val="24"/>
          <w:szCs w:val="24"/>
        </w:rPr>
        <w:lastRenderedPageBreak/>
        <w:t xml:space="preserve">en el pensamiento. Lo primero que destaca es que el hombre es culpable de ella, ya que no se trata de una cuestión de falta de inteligencia, sino de “falta de decisión y ánimo” para pensar por sí mismo, de “pereza y cobardía”, el hombre es culpable de no usar la razón por “comodidad”, y de preferir que </w:t>
      </w:r>
      <w:r w:rsidR="00BE27D8">
        <w:rPr>
          <w:rFonts w:ascii="Arial" w:hAnsi="Arial" w:cs="Arial"/>
          <w:i/>
          <w:iCs/>
          <w:sz w:val="24"/>
          <w:szCs w:val="24"/>
        </w:rPr>
        <w:t>otros</w:t>
      </w:r>
      <w:r w:rsidR="00BE27D8">
        <w:rPr>
          <w:rFonts w:ascii="Arial" w:hAnsi="Arial" w:cs="Arial"/>
          <w:sz w:val="24"/>
          <w:szCs w:val="24"/>
        </w:rPr>
        <w:t xml:space="preserve"> asuman tan “fastidiosa tarea”.</w:t>
      </w:r>
    </w:p>
    <w:p w14:paraId="1F1FDB8D" w14:textId="77777777" w:rsidR="00BE27D8" w:rsidRDefault="00BE27D8" w:rsidP="00BE27D8">
      <w:pPr>
        <w:spacing w:after="0" w:line="360" w:lineRule="auto"/>
        <w:jc w:val="both"/>
        <w:rPr>
          <w:rFonts w:ascii="Arial" w:hAnsi="Arial" w:cs="Arial"/>
          <w:sz w:val="24"/>
          <w:szCs w:val="24"/>
        </w:rPr>
      </w:pPr>
      <w:r>
        <w:rPr>
          <w:rFonts w:ascii="Arial" w:hAnsi="Arial" w:cs="Arial"/>
          <w:sz w:val="24"/>
          <w:szCs w:val="24"/>
        </w:rPr>
        <w:tab/>
        <w:t xml:space="preserve">A esos </w:t>
      </w:r>
      <w:r>
        <w:rPr>
          <w:rFonts w:ascii="Arial" w:hAnsi="Arial" w:cs="Arial"/>
          <w:i/>
          <w:iCs/>
          <w:sz w:val="24"/>
          <w:szCs w:val="24"/>
        </w:rPr>
        <w:t xml:space="preserve">otros </w:t>
      </w:r>
      <w:r>
        <w:rPr>
          <w:rFonts w:ascii="Arial" w:hAnsi="Arial" w:cs="Arial"/>
          <w:sz w:val="24"/>
          <w:szCs w:val="24"/>
        </w:rPr>
        <w:t xml:space="preserve">Kant los llamará </w:t>
      </w:r>
      <w:r w:rsidRPr="003D4020">
        <w:rPr>
          <w:rFonts w:ascii="Arial" w:hAnsi="Arial" w:cs="Arial"/>
          <w:b/>
          <w:bCs/>
          <w:i/>
          <w:iCs/>
          <w:sz w:val="24"/>
          <w:szCs w:val="24"/>
        </w:rPr>
        <w:t>tutores</w:t>
      </w:r>
      <w:r w:rsidRPr="003D4020">
        <w:rPr>
          <w:rFonts w:ascii="Arial" w:hAnsi="Arial" w:cs="Arial"/>
          <w:b/>
          <w:bCs/>
          <w:sz w:val="24"/>
          <w:szCs w:val="24"/>
        </w:rPr>
        <w:t>.</w:t>
      </w:r>
      <w:r>
        <w:rPr>
          <w:rFonts w:ascii="Arial" w:hAnsi="Arial" w:cs="Arial"/>
          <w:sz w:val="24"/>
          <w:szCs w:val="24"/>
        </w:rPr>
        <w:t xml:space="preserve"> Los representa a través del libro, el sacerdote o el médico, que intentan dirigir nuestra conducta y pensamiento. Al introducir al tutor, Kant plantea que la minoría de edad se construye entre dos: El hombre, perezoso y cobarde, y el tutor, que no lo dejará ensayar andar con paso propio, “atontándolo” cual “res domesticada” </w:t>
      </w:r>
    </w:p>
    <w:p w14:paraId="243676A8" w14:textId="3C58D4AC" w:rsidR="00BE27D8" w:rsidRDefault="00BE27D8" w:rsidP="00BE27D8">
      <w:pPr>
        <w:spacing w:after="0" w:line="360" w:lineRule="auto"/>
        <w:ind w:firstLine="708"/>
        <w:jc w:val="both"/>
        <w:rPr>
          <w:rFonts w:ascii="Arial" w:hAnsi="Arial" w:cs="Arial"/>
          <w:sz w:val="24"/>
          <w:szCs w:val="24"/>
        </w:rPr>
      </w:pPr>
      <w:r>
        <w:rPr>
          <w:rFonts w:ascii="Arial" w:hAnsi="Arial" w:cs="Arial"/>
          <w:sz w:val="24"/>
          <w:szCs w:val="24"/>
        </w:rPr>
        <w:t>De esa situación no se sale con una revolución, “el público puede alcanzar ilustración sólo lentamente”, “por su propio trabajo”.</w:t>
      </w:r>
    </w:p>
    <w:p w14:paraId="36E3AFDD" w14:textId="77777777" w:rsidR="00277059" w:rsidRDefault="00277059" w:rsidP="00BE27D8">
      <w:pPr>
        <w:spacing w:after="0" w:line="360" w:lineRule="auto"/>
        <w:ind w:firstLine="708"/>
        <w:jc w:val="both"/>
        <w:rPr>
          <w:rFonts w:ascii="Arial" w:hAnsi="Arial" w:cs="Arial"/>
          <w:sz w:val="24"/>
          <w:szCs w:val="24"/>
        </w:rPr>
      </w:pPr>
    </w:p>
    <w:p w14:paraId="5872DAFB" w14:textId="7BB80F24" w:rsidR="00BE27D8" w:rsidRDefault="00BE27D8" w:rsidP="00277059">
      <w:pPr>
        <w:shd w:val="clear" w:color="auto" w:fill="92D050"/>
        <w:spacing w:after="0" w:line="360" w:lineRule="auto"/>
        <w:jc w:val="both"/>
        <w:rPr>
          <w:rFonts w:ascii="Arial" w:hAnsi="Arial" w:cs="Arial"/>
          <w:sz w:val="24"/>
          <w:szCs w:val="24"/>
        </w:rPr>
      </w:pPr>
      <w:r>
        <w:rPr>
          <w:rFonts w:ascii="Arial" w:hAnsi="Arial" w:cs="Arial"/>
          <w:sz w:val="24"/>
          <w:szCs w:val="24"/>
        </w:rPr>
        <w:t xml:space="preserve">     b) La posibilidad de </w:t>
      </w:r>
      <w:r w:rsidR="00A97229">
        <w:rPr>
          <w:rFonts w:ascii="Arial" w:hAnsi="Arial" w:cs="Arial"/>
          <w:sz w:val="24"/>
          <w:szCs w:val="24"/>
        </w:rPr>
        <w:t>emancipación por medio de la razón</w:t>
      </w:r>
      <w:r>
        <w:rPr>
          <w:rFonts w:ascii="Arial" w:hAnsi="Arial" w:cs="Arial"/>
          <w:sz w:val="24"/>
          <w:szCs w:val="24"/>
        </w:rPr>
        <w:tab/>
      </w:r>
    </w:p>
    <w:p w14:paraId="68E4050B" w14:textId="77777777" w:rsidR="00277059" w:rsidRDefault="00BE27D8" w:rsidP="00BE27D8">
      <w:pPr>
        <w:spacing w:after="0" w:line="360" w:lineRule="auto"/>
        <w:jc w:val="both"/>
        <w:rPr>
          <w:rFonts w:ascii="Arial" w:hAnsi="Arial" w:cs="Arial"/>
          <w:sz w:val="24"/>
          <w:szCs w:val="24"/>
        </w:rPr>
      </w:pPr>
      <w:r>
        <w:rPr>
          <w:rFonts w:ascii="Arial" w:hAnsi="Arial" w:cs="Arial"/>
          <w:sz w:val="24"/>
          <w:szCs w:val="24"/>
        </w:rPr>
        <w:tab/>
      </w:r>
    </w:p>
    <w:p w14:paraId="4947A1C1" w14:textId="6446380A" w:rsidR="00BE27D8" w:rsidRDefault="00277059" w:rsidP="00BE27D8">
      <w:pPr>
        <w:spacing w:after="0" w:line="360" w:lineRule="auto"/>
        <w:jc w:val="both"/>
        <w:rPr>
          <w:rFonts w:ascii="Arial" w:hAnsi="Arial" w:cs="Arial"/>
          <w:sz w:val="24"/>
          <w:szCs w:val="24"/>
        </w:rPr>
      </w:pPr>
      <w:r>
        <w:rPr>
          <w:rFonts w:ascii="Arial" w:hAnsi="Arial" w:cs="Arial"/>
          <w:sz w:val="24"/>
          <w:szCs w:val="24"/>
        </w:rPr>
        <w:tab/>
      </w:r>
      <w:r w:rsidR="00615263">
        <w:rPr>
          <w:rFonts w:ascii="Arial" w:hAnsi="Arial" w:cs="Arial"/>
          <w:sz w:val="24"/>
          <w:szCs w:val="24"/>
        </w:rPr>
        <w:t xml:space="preserve">El núcleo de la Ilustración es la” salida” del ser humano de su estado de inmadurez. </w:t>
      </w:r>
      <w:r w:rsidR="00BE27D8">
        <w:rPr>
          <w:rFonts w:ascii="Arial" w:hAnsi="Arial" w:cs="Arial"/>
          <w:sz w:val="24"/>
          <w:szCs w:val="24"/>
        </w:rPr>
        <w:t>Es posible, entonces, para Kant</w:t>
      </w:r>
      <w:r w:rsidR="00D46EDA">
        <w:rPr>
          <w:rFonts w:ascii="Arial" w:hAnsi="Arial" w:cs="Arial"/>
          <w:sz w:val="24"/>
          <w:szCs w:val="24"/>
        </w:rPr>
        <w:t>,</w:t>
      </w:r>
      <w:r w:rsidR="00BE27D8">
        <w:rPr>
          <w:rFonts w:ascii="Arial" w:hAnsi="Arial" w:cs="Arial"/>
          <w:sz w:val="24"/>
          <w:szCs w:val="24"/>
        </w:rPr>
        <w:t xml:space="preserve"> que el ser humano se ilustre, es más, es inevitable “siempre que se le deje en libertad”. Así, el significado de</w:t>
      </w:r>
      <w:r w:rsidR="00A97229">
        <w:rPr>
          <w:rFonts w:ascii="Arial" w:hAnsi="Arial" w:cs="Arial"/>
          <w:sz w:val="24"/>
          <w:szCs w:val="24"/>
        </w:rPr>
        <w:t xml:space="preserve"> I</w:t>
      </w:r>
      <w:r w:rsidR="00BE27D8">
        <w:rPr>
          <w:rFonts w:ascii="Arial" w:hAnsi="Arial" w:cs="Arial"/>
          <w:sz w:val="24"/>
          <w:szCs w:val="24"/>
        </w:rPr>
        <w:t>lustración se liga a las ideas de RAZÓN y LIBERTAD, que son consideradas como predisposiciones de la naturaleza humana, concepción enraizada en la nueva visión del hombre que formula la Modernidad.</w:t>
      </w:r>
    </w:p>
    <w:p w14:paraId="5C154965" w14:textId="77777777" w:rsidR="00BE27D8" w:rsidRDefault="00BE27D8" w:rsidP="00BE27D8">
      <w:pPr>
        <w:spacing w:after="0" w:line="360" w:lineRule="auto"/>
        <w:jc w:val="both"/>
        <w:rPr>
          <w:rFonts w:ascii="Arial" w:hAnsi="Arial" w:cs="Arial"/>
          <w:sz w:val="24"/>
          <w:szCs w:val="24"/>
        </w:rPr>
      </w:pPr>
      <w:r>
        <w:rPr>
          <w:rFonts w:ascii="Arial" w:hAnsi="Arial" w:cs="Arial"/>
          <w:sz w:val="24"/>
          <w:szCs w:val="24"/>
        </w:rPr>
        <w:tab/>
        <w:t xml:space="preserve">Debe haber libertad para plantear públicamente los propios juicios, pero el uso privado de la propia razón debe ser limitado. Así introduce Kant una diferencia fundamental en su argumentación, que es la distinción entre el uso público y el uso privado de la razón. </w:t>
      </w:r>
    </w:p>
    <w:p w14:paraId="37AD9131" w14:textId="77777777" w:rsidR="00BE27D8" w:rsidRDefault="00BE27D8" w:rsidP="00BE27D8">
      <w:pPr>
        <w:spacing w:after="0" w:line="360" w:lineRule="auto"/>
        <w:ind w:firstLine="708"/>
        <w:jc w:val="both"/>
        <w:rPr>
          <w:rFonts w:ascii="Arial" w:hAnsi="Arial" w:cs="Arial"/>
          <w:sz w:val="24"/>
          <w:szCs w:val="24"/>
        </w:rPr>
      </w:pPr>
      <w:r w:rsidRPr="003D4020">
        <w:rPr>
          <w:rFonts w:ascii="Arial" w:hAnsi="Arial" w:cs="Arial"/>
          <w:b/>
          <w:bCs/>
          <w:sz w:val="24"/>
          <w:szCs w:val="24"/>
        </w:rPr>
        <w:t>Usar públicamente la razón</w:t>
      </w:r>
      <w:r>
        <w:rPr>
          <w:rFonts w:ascii="Arial" w:hAnsi="Arial" w:cs="Arial"/>
          <w:sz w:val="24"/>
          <w:szCs w:val="24"/>
        </w:rPr>
        <w:t xml:space="preserve"> es dar a conocer a la sociedad en general las propias reflexiones, consideraciones o críticas sobre cualquier asunto, en tanto “docto”. ¿Quién sería un docto? Según se desprende del texto, un docto no sería un erudito, sino alguien que conoce suficientemente un asunto, y que, pensando por sí mismo, formula juicios y los comunica públicamente. Para ello es necesario un contexto social y político que propicie la libre circulación de ideas. En ese sentido, Kant valora el gobierno de Federico II, que habilita un espacio de libertad de pensamiento, ante todo en materia religiosa, pero que, Kant confía, se extenderá a otros planos como la legislación.</w:t>
      </w:r>
    </w:p>
    <w:p w14:paraId="18A7D50D" w14:textId="57DE81E8" w:rsidR="00BE27D8" w:rsidRDefault="00BE27D8" w:rsidP="00BE27D8">
      <w:pPr>
        <w:spacing w:after="0" w:line="360" w:lineRule="auto"/>
        <w:ind w:firstLine="708"/>
        <w:jc w:val="both"/>
        <w:rPr>
          <w:rFonts w:ascii="Arial" w:hAnsi="Arial" w:cs="Arial"/>
          <w:sz w:val="24"/>
          <w:szCs w:val="24"/>
        </w:rPr>
      </w:pPr>
      <w:r w:rsidRPr="003D4020">
        <w:rPr>
          <w:rFonts w:ascii="Arial" w:hAnsi="Arial" w:cs="Arial"/>
          <w:b/>
          <w:bCs/>
          <w:sz w:val="24"/>
          <w:szCs w:val="24"/>
        </w:rPr>
        <w:lastRenderedPageBreak/>
        <w:t>El uso privado de la razón</w:t>
      </w:r>
      <w:r>
        <w:rPr>
          <w:rFonts w:ascii="Arial" w:hAnsi="Arial" w:cs="Arial"/>
          <w:sz w:val="24"/>
          <w:szCs w:val="24"/>
        </w:rPr>
        <w:t xml:space="preserve"> es el que hace el hombre dentro de un puesto u ocupación concerniente al interés de la comunidad. Allí “no es permitido razonar, sino que se necesita obedecer”. </w:t>
      </w:r>
      <w:proofErr w:type="gramStart"/>
      <w:r>
        <w:rPr>
          <w:rFonts w:ascii="Arial" w:hAnsi="Arial" w:cs="Arial"/>
          <w:sz w:val="24"/>
          <w:szCs w:val="24"/>
        </w:rPr>
        <w:t>Tres ejemplos proporciona</w:t>
      </w:r>
      <w:proofErr w:type="gramEnd"/>
      <w:r>
        <w:rPr>
          <w:rFonts w:ascii="Arial" w:hAnsi="Arial" w:cs="Arial"/>
          <w:sz w:val="24"/>
          <w:szCs w:val="24"/>
        </w:rPr>
        <w:t xml:space="preserve"> Kant al respecto: el oficial, que debe obedecer al superior, el ciudadano, que no se puede negar a pagar los impuestos, y el sacerdote, que debe enseñar según la Iglesia a la que sirve. No </w:t>
      </w:r>
      <w:proofErr w:type="gramStart"/>
      <w:r>
        <w:rPr>
          <w:rFonts w:ascii="Arial" w:hAnsi="Arial" w:cs="Arial"/>
          <w:sz w:val="24"/>
          <w:szCs w:val="24"/>
        </w:rPr>
        <w:t>obstante</w:t>
      </w:r>
      <w:proofErr w:type="gramEnd"/>
      <w:r>
        <w:rPr>
          <w:rFonts w:ascii="Arial" w:hAnsi="Arial" w:cs="Arial"/>
          <w:sz w:val="24"/>
          <w:szCs w:val="24"/>
        </w:rPr>
        <w:t xml:space="preserve"> lo cual, todos ellos tienen plena libertad de manifestar púbicamente sus ideas, sin que eso traiga peligro para la comunidad.</w:t>
      </w:r>
    </w:p>
    <w:p w14:paraId="0E2A8C35" w14:textId="77777777" w:rsidR="00277059" w:rsidRDefault="00277059" w:rsidP="00BE27D8">
      <w:pPr>
        <w:spacing w:after="0" w:line="360" w:lineRule="auto"/>
        <w:ind w:firstLine="708"/>
        <w:jc w:val="both"/>
        <w:rPr>
          <w:rFonts w:ascii="Arial" w:hAnsi="Arial" w:cs="Arial"/>
          <w:sz w:val="24"/>
          <w:szCs w:val="24"/>
        </w:rPr>
      </w:pPr>
    </w:p>
    <w:p w14:paraId="79A51BCD" w14:textId="77777777" w:rsidR="00BE27D8" w:rsidRDefault="00BE27D8" w:rsidP="00277059">
      <w:pPr>
        <w:pStyle w:val="Prrafodelista"/>
        <w:numPr>
          <w:ilvl w:val="0"/>
          <w:numId w:val="3"/>
        </w:numPr>
        <w:shd w:val="clear" w:color="auto" w:fill="92D050"/>
        <w:spacing w:after="0" w:line="360" w:lineRule="auto"/>
        <w:jc w:val="both"/>
        <w:rPr>
          <w:rFonts w:ascii="Arial" w:hAnsi="Arial" w:cs="Arial"/>
          <w:sz w:val="24"/>
          <w:szCs w:val="24"/>
        </w:rPr>
      </w:pPr>
      <w:r>
        <w:rPr>
          <w:rFonts w:ascii="Arial" w:hAnsi="Arial" w:cs="Arial"/>
          <w:sz w:val="24"/>
          <w:szCs w:val="24"/>
        </w:rPr>
        <w:t>Hacia una ilustración general</w:t>
      </w:r>
    </w:p>
    <w:p w14:paraId="4CCD1E8B" w14:textId="77777777" w:rsidR="00277059" w:rsidRDefault="00277059" w:rsidP="00BE27D8">
      <w:pPr>
        <w:spacing w:after="0" w:line="360" w:lineRule="auto"/>
        <w:ind w:firstLine="708"/>
        <w:jc w:val="both"/>
        <w:rPr>
          <w:rFonts w:ascii="Arial" w:hAnsi="Arial" w:cs="Arial"/>
          <w:sz w:val="24"/>
          <w:szCs w:val="24"/>
        </w:rPr>
      </w:pPr>
    </w:p>
    <w:p w14:paraId="4E287DA2" w14:textId="4274C10C" w:rsidR="00BE27D8" w:rsidRDefault="00277059" w:rsidP="00BE27D8">
      <w:pPr>
        <w:spacing w:after="0" w:line="360" w:lineRule="auto"/>
        <w:ind w:firstLine="708"/>
        <w:jc w:val="both"/>
        <w:rPr>
          <w:rFonts w:ascii="Arial" w:hAnsi="Arial" w:cs="Arial"/>
          <w:sz w:val="24"/>
          <w:szCs w:val="24"/>
        </w:rPr>
      </w:pPr>
      <w:r>
        <w:rPr>
          <w:rFonts w:ascii="Arial" w:hAnsi="Arial" w:cs="Arial"/>
          <w:sz w:val="24"/>
          <w:szCs w:val="24"/>
        </w:rPr>
        <w:tab/>
      </w:r>
      <w:r w:rsidR="00BE27D8">
        <w:rPr>
          <w:rFonts w:ascii="Arial" w:hAnsi="Arial" w:cs="Arial"/>
          <w:sz w:val="24"/>
          <w:szCs w:val="24"/>
        </w:rPr>
        <w:t xml:space="preserve">Finalmente, Kant marcará la diferencia entre vivir en una época ilustrada, o en una época de ilustración. Observa que, en su tiempo, la mayoría de las personas están aún lejos de ser capaces de servirse del propio entendimiento sin auxilio de tutores. </w:t>
      </w:r>
      <w:r w:rsidR="00D46EDA">
        <w:rPr>
          <w:rFonts w:ascii="Arial" w:hAnsi="Arial" w:cs="Arial"/>
          <w:sz w:val="24"/>
          <w:szCs w:val="24"/>
        </w:rPr>
        <w:t>L</w:t>
      </w:r>
      <w:r w:rsidR="00BE27D8">
        <w:rPr>
          <w:rFonts w:ascii="Arial" w:hAnsi="Arial" w:cs="Arial"/>
          <w:sz w:val="24"/>
          <w:szCs w:val="24"/>
        </w:rPr>
        <w:t>a razón y la libertad de usarla estuvieron oscurecidas durante la Edad Media, y todavía no se han superado los prejuicios, principalmente los relativos a cuestiones espirituales, ya que la minoría de edad en materia religiosa es la más peligrosa. Sin embargo, dado el clima de libertad que se expande, se va a llegar a la ilustración. Están dadas las condiciones históricas para que se desarrolle el germen de la inclinación humana al libre pensamiento</w:t>
      </w:r>
      <w:r w:rsidR="00CC660B">
        <w:rPr>
          <w:rFonts w:ascii="Arial" w:hAnsi="Arial" w:cs="Arial"/>
          <w:sz w:val="24"/>
          <w:szCs w:val="24"/>
        </w:rPr>
        <w:t>.</w:t>
      </w:r>
    </w:p>
    <w:p w14:paraId="02689AEE" w14:textId="77777777" w:rsidR="00BE27D8" w:rsidRDefault="00BE27D8" w:rsidP="00BE27D8">
      <w:pPr>
        <w:spacing w:after="0" w:line="360" w:lineRule="auto"/>
        <w:ind w:firstLine="708"/>
        <w:jc w:val="both"/>
        <w:rPr>
          <w:rFonts w:ascii="Arial" w:hAnsi="Arial" w:cs="Arial"/>
          <w:sz w:val="24"/>
          <w:szCs w:val="24"/>
        </w:rPr>
      </w:pPr>
    </w:p>
    <w:p w14:paraId="2AE278B4" w14:textId="77777777" w:rsidR="00BE27D8" w:rsidRDefault="00BE27D8" w:rsidP="00BE27D8">
      <w:pPr>
        <w:jc w:val="both"/>
      </w:pPr>
    </w:p>
    <w:p w14:paraId="4D3D59B1" w14:textId="77777777" w:rsidR="00BE27D8" w:rsidRDefault="00BE27D8" w:rsidP="00BE27D8">
      <w:pPr>
        <w:jc w:val="both"/>
      </w:pPr>
      <w:r>
        <w:t>Bibliografía</w:t>
      </w:r>
    </w:p>
    <w:p w14:paraId="45A6B85D" w14:textId="77777777" w:rsidR="00BE27D8" w:rsidRDefault="00BE27D8" w:rsidP="00BE27D8">
      <w:pPr>
        <w:spacing w:after="0" w:line="240" w:lineRule="auto"/>
        <w:ind w:left="709" w:hanging="709"/>
        <w:jc w:val="both"/>
      </w:pPr>
      <w:r>
        <w:t xml:space="preserve">Aramayo, Roberto (2001), “Kant y la Ilustración”, </w:t>
      </w:r>
      <w:r>
        <w:rPr>
          <w:i/>
          <w:iCs/>
        </w:rPr>
        <w:t>ISEGORÏA</w:t>
      </w:r>
      <w:r>
        <w:t xml:space="preserve"> </w:t>
      </w:r>
      <w:proofErr w:type="spellStart"/>
      <w:r>
        <w:t>Nº</w:t>
      </w:r>
      <w:proofErr w:type="spellEnd"/>
      <w:r>
        <w:t xml:space="preserve"> 25, pp. 293-309, disponible en </w:t>
      </w:r>
      <w:hyperlink r:id="rId12" w:history="1">
        <w:r>
          <w:rPr>
            <w:rStyle w:val="Hipervnculo"/>
          </w:rPr>
          <w:t>https://digital.csic.es/bitstream/10261/9777/1/Kant%20y%20la%20ilustraci%C3%B3n.pdf</w:t>
        </w:r>
      </w:hyperlink>
    </w:p>
    <w:p w14:paraId="6554FD24" w14:textId="746C7826" w:rsidR="00A97229" w:rsidRDefault="00A97229" w:rsidP="00BE27D8">
      <w:pPr>
        <w:spacing w:after="0" w:line="240" w:lineRule="auto"/>
        <w:ind w:left="709" w:hanging="709"/>
        <w:jc w:val="both"/>
      </w:pPr>
      <w:r>
        <w:t>Dussel, Enrique (2000), “Europa, modernidad y eurocentrismo”, en Lander, Edgardo (</w:t>
      </w:r>
      <w:proofErr w:type="spellStart"/>
      <w:r>
        <w:t>comp.</w:t>
      </w:r>
      <w:proofErr w:type="spellEnd"/>
      <w:r>
        <w:t xml:space="preserve">) </w:t>
      </w:r>
      <w:r w:rsidRPr="00A97229">
        <w:rPr>
          <w:i/>
          <w:iCs/>
        </w:rPr>
        <w:t xml:space="preserve">La </w:t>
      </w:r>
      <w:proofErr w:type="spellStart"/>
      <w:r w:rsidRPr="00A97229">
        <w:rPr>
          <w:i/>
          <w:iCs/>
        </w:rPr>
        <w:t>colonialidad</w:t>
      </w:r>
      <w:proofErr w:type="spellEnd"/>
      <w:r w:rsidRPr="00A97229">
        <w:rPr>
          <w:i/>
          <w:iCs/>
        </w:rPr>
        <w:t xml:space="preserve"> del saber: eurocentrismo y ciencias sociales. Perspectivas latinoamericanas.</w:t>
      </w:r>
      <w:r>
        <w:t xml:space="preserve"> Buenos Aires, </w:t>
      </w:r>
      <w:proofErr w:type="spellStart"/>
      <w:r>
        <w:t>Clacso</w:t>
      </w:r>
      <w:proofErr w:type="spellEnd"/>
      <w:r>
        <w:t>.</w:t>
      </w:r>
    </w:p>
    <w:p w14:paraId="27FB9231" w14:textId="5F29E577" w:rsidR="00BE27D8" w:rsidRDefault="00BE27D8" w:rsidP="00BE27D8">
      <w:pPr>
        <w:spacing w:after="0" w:line="240" w:lineRule="auto"/>
        <w:ind w:left="709" w:hanging="709"/>
        <w:jc w:val="both"/>
      </w:pPr>
      <w:r>
        <w:t xml:space="preserve">García Orza, Raúl (1973) </w:t>
      </w:r>
      <w:r>
        <w:rPr>
          <w:i/>
          <w:iCs/>
        </w:rPr>
        <w:t>Método científico y poder político. El pensamiento del siglo XVII</w:t>
      </w:r>
      <w:r>
        <w:t>, Buenos Aires, Centro Editor de América Latina.</w:t>
      </w:r>
    </w:p>
    <w:p w14:paraId="7924236F" w14:textId="77777777" w:rsidR="00BE27D8" w:rsidRDefault="00BE27D8" w:rsidP="00A07A4C">
      <w:pPr>
        <w:spacing w:after="0" w:line="240" w:lineRule="auto"/>
        <w:ind w:left="709" w:hanging="709"/>
        <w:jc w:val="both"/>
      </w:pPr>
      <w:r>
        <w:t xml:space="preserve">Gómez Betancur, </w:t>
      </w:r>
      <w:proofErr w:type="spellStart"/>
      <w:r>
        <w:t>Milany</w:t>
      </w:r>
      <w:proofErr w:type="spellEnd"/>
      <w:r>
        <w:t xml:space="preserve"> 82016) “El tránsito del Feudalismo al Capitalismo. El nacimiento histórico de la burguesía y su mentalidad”, La Razón Histórica, </w:t>
      </w:r>
      <w:proofErr w:type="spellStart"/>
      <w:r>
        <w:t>Nº</w:t>
      </w:r>
      <w:proofErr w:type="spellEnd"/>
      <w:r>
        <w:t xml:space="preserve"> 33, pp.61-80, disponible en </w:t>
      </w:r>
    </w:p>
    <w:p w14:paraId="773015ED" w14:textId="77777777" w:rsidR="00A07A4C" w:rsidRDefault="002D3501" w:rsidP="00A07A4C">
      <w:pPr>
        <w:spacing w:after="0" w:line="240" w:lineRule="auto"/>
        <w:ind w:left="1417" w:hanging="709"/>
        <w:jc w:val="both"/>
      </w:pPr>
      <w:hyperlink r:id="rId13" w:history="1">
        <w:r w:rsidR="00BE27D8">
          <w:rPr>
            <w:rStyle w:val="Hipervnculo"/>
          </w:rPr>
          <w:t>https://www.revistalarazonhistorica.com/app/download/10666701898/LRH+33.4.pdf?t=1469397661</w:t>
        </w:r>
      </w:hyperlink>
    </w:p>
    <w:p w14:paraId="396A4898" w14:textId="21E08A34" w:rsidR="00A07A4C" w:rsidRDefault="00A07A4C" w:rsidP="00A07A4C">
      <w:pPr>
        <w:spacing w:after="0" w:line="240" w:lineRule="auto"/>
        <w:ind w:left="709" w:hanging="709"/>
        <w:jc w:val="both"/>
      </w:pPr>
      <w:r>
        <w:t xml:space="preserve"> Kant, Immanuel., “¿Qué es Ilustración?”, </w:t>
      </w:r>
    </w:p>
    <w:p w14:paraId="43D3DA08" w14:textId="1BFF2114" w:rsidR="00BE27D8" w:rsidRDefault="00A07A4C" w:rsidP="00A07A4C">
      <w:pPr>
        <w:spacing w:after="0" w:line="240" w:lineRule="auto"/>
        <w:ind w:left="1417" w:hanging="709"/>
        <w:jc w:val="both"/>
      </w:pPr>
      <w:r>
        <w:t xml:space="preserve"> </w:t>
      </w:r>
      <w:hyperlink r:id="rId14" w:history="1">
        <w:r w:rsidRPr="00B77823">
          <w:rPr>
            <w:rStyle w:val="Hipervnculo"/>
          </w:rPr>
          <w:t>http://www.paginasobrefilosofia.com/html/kantpre/iluskant.html</w:t>
        </w:r>
      </w:hyperlink>
      <w:r>
        <w:t>. </w:t>
      </w:r>
    </w:p>
    <w:p w14:paraId="0B80A8B7" w14:textId="77777777" w:rsidR="00EB2E89" w:rsidRDefault="00EB2E89"/>
    <w:sectPr w:rsidR="00EB2E89" w:rsidSect="000C07B1">
      <w:headerReference w:type="even" r:id="rId15"/>
      <w:headerReference w:type="default" r:id="rId16"/>
      <w:footerReference w:type="even" r:id="rId17"/>
      <w:footerReference w:type="default" r:id="rId18"/>
      <w:headerReference w:type="first" r:id="rId19"/>
      <w:footerReference w:type="firs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A080D" w14:textId="77777777" w:rsidR="002D3501" w:rsidRDefault="002D3501" w:rsidP="0095570C">
      <w:pPr>
        <w:spacing w:after="0" w:line="240" w:lineRule="auto"/>
      </w:pPr>
      <w:r>
        <w:separator/>
      </w:r>
    </w:p>
  </w:endnote>
  <w:endnote w:type="continuationSeparator" w:id="0">
    <w:p w14:paraId="54939BA2" w14:textId="77777777" w:rsidR="002D3501" w:rsidRDefault="002D3501" w:rsidP="00955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722A6" w14:textId="77777777" w:rsidR="00CD24D3" w:rsidRDefault="00CD24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889984"/>
      <w:docPartObj>
        <w:docPartGallery w:val="Page Numbers (Bottom of Page)"/>
        <w:docPartUnique/>
      </w:docPartObj>
    </w:sdtPr>
    <w:sdtEndPr/>
    <w:sdtContent>
      <w:p w14:paraId="5B4A4FBC" w14:textId="0E7C17DE" w:rsidR="000C07B1" w:rsidRDefault="000C07B1">
        <w:pPr>
          <w:pStyle w:val="Piedepgina"/>
          <w:jc w:val="center"/>
        </w:pPr>
        <w:r>
          <w:fldChar w:fldCharType="begin"/>
        </w:r>
        <w:r>
          <w:instrText>PAGE   \* MERGEFORMAT</w:instrText>
        </w:r>
        <w:r>
          <w:fldChar w:fldCharType="separate"/>
        </w:r>
        <w:r>
          <w:rPr>
            <w:lang w:val="es-ES"/>
          </w:rPr>
          <w:t>2</w:t>
        </w:r>
        <w:r>
          <w:fldChar w:fldCharType="end"/>
        </w:r>
      </w:p>
    </w:sdtContent>
  </w:sdt>
  <w:p w14:paraId="7EB764E8" w14:textId="77777777" w:rsidR="00CD24D3" w:rsidRDefault="00CD24D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288363"/>
      <w:docPartObj>
        <w:docPartGallery w:val="Page Numbers (Bottom of Page)"/>
        <w:docPartUnique/>
      </w:docPartObj>
    </w:sdtPr>
    <w:sdtEndPr/>
    <w:sdtContent>
      <w:p w14:paraId="4476A484" w14:textId="0068F278" w:rsidR="000C07B1" w:rsidRDefault="000C07B1">
        <w:pPr>
          <w:pStyle w:val="Piedepgina"/>
          <w:jc w:val="center"/>
        </w:pPr>
        <w:r>
          <w:fldChar w:fldCharType="begin"/>
        </w:r>
        <w:r>
          <w:instrText>PAGE   \* MERGEFORMAT</w:instrText>
        </w:r>
        <w:r>
          <w:fldChar w:fldCharType="separate"/>
        </w:r>
        <w:r>
          <w:rPr>
            <w:lang w:val="es-ES"/>
          </w:rPr>
          <w:t>2</w:t>
        </w:r>
        <w:r>
          <w:fldChar w:fldCharType="end"/>
        </w:r>
      </w:p>
    </w:sdtContent>
  </w:sdt>
  <w:p w14:paraId="0E919F2F" w14:textId="38DAC09F" w:rsidR="00CD24D3" w:rsidRDefault="00CD24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D15D2" w14:textId="77777777" w:rsidR="002D3501" w:rsidRDefault="002D3501" w:rsidP="0095570C">
      <w:pPr>
        <w:spacing w:after="0" w:line="240" w:lineRule="auto"/>
      </w:pPr>
      <w:r>
        <w:separator/>
      </w:r>
    </w:p>
  </w:footnote>
  <w:footnote w:type="continuationSeparator" w:id="0">
    <w:p w14:paraId="13E9C636" w14:textId="77777777" w:rsidR="002D3501" w:rsidRDefault="002D3501" w:rsidP="0095570C">
      <w:pPr>
        <w:spacing w:after="0" w:line="240" w:lineRule="auto"/>
      </w:pPr>
      <w:r>
        <w:continuationSeparator/>
      </w:r>
    </w:p>
  </w:footnote>
  <w:footnote w:id="1">
    <w:p w14:paraId="3B41833D" w14:textId="78AF1D82" w:rsidR="007A0AFF" w:rsidRDefault="007A0AFF">
      <w:pPr>
        <w:pStyle w:val="Textonotapie"/>
      </w:pPr>
      <w:r>
        <w:rPr>
          <w:rStyle w:val="Refdenotaalpie"/>
        </w:rPr>
        <w:footnoteRef/>
      </w:r>
      <w:r>
        <w:t xml:space="preserve"> Material de apoyo para </w:t>
      </w:r>
      <w:r w:rsidR="00E0047C">
        <w:t>los estudiantes</w:t>
      </w:r>
      <w:r w:rsidR="000E5254">
        <w:t>, articulado a la Clase Teórica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50309" w14:textId="77777777" w:rsidR="00CD24D3" w:rsidRDefault="00CD24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DD74F" w14:textId="77777777" w:rsidR="00CD24D3" w:rsidRDefault="00CD24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B689F" w14:textId="3100DC92" w:rsidR="0095570C" w:rsidRDefault="0095570C">
    <w:pPr>
      <w:pStyle w:val="Encabezado"/>
    </w:pPr>
    <w:r>
      <w:rPr>
        <w:rFonts w:ascii="Times New Roman" w:hAnsi="Times New Roman" w:cs="Times New Roman"/>
        <w:noProof/>
        <w:sz w:val="24"/>
        <w:szCs w:val="24"/>
      </w:rPr>
      <w:drawing>
        <wp:inline distT="0" distB="0" distL="0" distR="0" wp14:anchorId="6FC793B3" wp14:editId="567A2C84">
          <wp:extent cx="885825" cy="147637"/>
          <wp:effectExtent l="0" t="0" r="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6335" cy="152722"/>
                  </a:xfrm>
                  <a:prstGeom prst="rect">
                    <a:avLst/>
                  </a:prstGeom>
                  <a:noFill/>
                  <a:ln>
                    <a:noFill/>
                  </a:ln>
                </pic:spPr>
              </pic:pic>
            </a:graphicData>
          </a:graphic>
        </wp:inline>
      </w:drawing>
    </w:r>
    <w:r w:rsidR="00996D08">
      <w:tab/>
    </w:r>
    <w:r>
      <w:tab/>
    </w:r>
    <w:r>
      <w:rPr>
        <w:noProof/>
      </w:rPr>
      <w:drawing>
        <wp:inline distT="0" distB="0" distL="0" distR="0" wp14:anchorId="6FF0C469" wp14:editId="02ABE38A">
          <wp:extent cx="952500" cy="150675"/>
          <wp:effectExtent l="0" t="0" r="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81867" cy="1553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8CA"/>
    <w:multiLevelType w:val="hybridMultilevel"/>
    <w:tmpl w:val="E574134C"/>
    <w:lvl w:ilvl="0" w:tplc="D5F4B240">
      <w:start w:val="1"/>
      <w:numFmt w:val="decimal"/>
      <w:lvlText w:val="%1-"/>
      <w:lvlJc w:val="left"/>
      <w:pPr>
        <w:ind w:left="720" w:hanging="360"/>
      </w:pPr>
      <w:rPr>
        <w:rFonts w:asciiTheme="minorHAnsi" w:hAnsiTheme="minorHAnsi" w:cstheme="minorBidi"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2" w15:restartNumberingAfterBreak="0">
    <w:nsid w:val="159E03AA"/>
    <w:multiLevelType w:val="hybridMultilevel"/>
    <w:tmpl w:val="59E2AEBA"/>
    <w:lvl w:ilvl="0" w:tplc="2C0A0017">
      <w:start w:val="1"/>
      <w:numFmt w:val="lowerLetter"/>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 w15:restartNumberingAfterBreak="0">
    <w:nsid w:val="5CB30C64"/>
    <w:multiLevelType w:val="hybridMultilevel"/>
    <w:tmpl w:val="B55C0728"/>
    <w:lvl w:ilvl="0" w:tplc="89F4B6A6">
      <w:start w:val="3"/>
      <w:numFmt w:val="lowerLetter"/>
      <w:lvlText w:val="%1)"/>
      <w:lvlJc w:val="left"/>
      <w:pPr>
        <w:ind w:left="690" w:hanging="360"/>
      </w:pPr>
    </w:lvl>
    <w:lvl w:ilvl="1" w:tplc="2C0A0019">
      <w:start w:val="1"/>
      <w:numFmt w:val="lowerLetter"/>
      <w:lvlText w:val="%2."/>
      <w:lvlJc w:val="left"/>
      <w:pPr>
        <w:ind w:left="1410" w:hanging="360"/>
      </w:pPr>
    </w:lvl>
    <w:lvl w:ilvl="2" w:tplc="2C0A001B">
      <w:start w:val="1"/>
      <w:numFmt w:val="lowerRoman"/>
      <w:lvlText w:val="%3."/>
      <w:lvlJc w:val="right"/>
      <w:pPr>
        <w:ind w:left="2130" w:hanging="180"/>
      </w:pPr>
    </w:lvl>
    <w:lvl w:ilvl="3" w:tplc="2C0A000F">
      <w:start w:val="1"/>
      <w:numFmt w:val="decimal"/>
      <w:lvlText w:val="%4."/>
      <w:lvlJc w:val="left"/>
      <w:pPr>
        <w:ind w:left="2850" w:hanging="360"/>
      </w:pPr>
    </w:lvl>
    <w:lvl w:ilvl="4" w:tplc="2C0A0019">
      <w:start w:val="1"/>
      <w:numFmt w:val="lowerLetter"/>
      <w:lvlText w:val="%5."/>
      <w:lvlJc w:val="left"/>
      <w:pPr>
        <w:ind w:left="3570" w:hanging="360"/>
      </w:pPr>
    </w:lvl>
    <w:lvl w:ilvl="5" w:tplc="2C0A001B">
      <w:start w:val="1"/>
      <w:numFmt w:val="lowerRoman"/>
      <w:lvlText w:val="%6."/>
      <w:lvlJc w:val="right"/>
      <w:pPr>
        <w:ind w:left="4290" w:hanging="180"/>
      </w:pPr>
    </w:lvl>
    <w:lvl w:ilvl="6" w:tplc="2C0A000F">
      <w:start w:val="1"/>
      <w:numFmt w:val="decimal"/>
      <w:lvlText w:val="%7."/>
      <w:lvlJc w:val="left"/>
      <w:pPr>
        <w:ind w:left="5010" w:hanging="360"/>
      </w:pPr>
    </w:lvl>
    <w:lvl w:ilvl="7" w:tplc="2C0A0019">
      <w:start w:val="1"/>
      <w:numFmt w:val="lowerLetter"/>
      <w:lvlText w:val="%8."/>
      <w:lvlJc w:val="left"/>
      <w:pPr>
        <w:ind w:left="5730" w:hanging="360"/>
      </w:pPr>
    </w:lvl>
    <w:lvl w:ilvl="8" w:tplc="2C0A001B">
      <w:start w:val="1"/>
      <w:numFmt w:val="lowerRoman"/>
      <w:lvlText w:val="%9."/>
      <w:lvlJc w:val="right"/>
      <w:pPr>
        <w:ind w:left="645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7D8"/>
    <w:rsid w:val="000A7EF7"/>
    <w:rsid w:val="000C07B1"/>
    <w:rsid w:val="000E5254"/>
    <w:rsid w:val="00157BB2"/>
    <w:rsid w:val="00171D1A"/>
    <w:rsid w:val="00183765"/>
    <w:rsid w:val="00200E7B"/>
    <w:rsid w:val="00277059"/>
    <w:rsid w:val="002D3501"/>
    <w:rsid w:val="003A2B15"/>
    <w:rsid w:val="003D4020"/>
    <w:rsid w:val="003F131A"/>
    <w:rsid w:val="004164B8"/>
    <w:rsid w:val="00421478"/>
    <w:rsid w:val="004C1719"/>
    <w:rsid w:val="004E023C"/>
    <w:rsid w:val="004F5935"/>
    <w:rsid w:val="005017B2"/>
    <w:rsid w:val="005334A6"/>
    <w:rsid w:val="00536432"/>
    <w:rsid w:val="005929DC"/>
    <w:rsid w:val="005B3FBA"/>
    <w:rsid w:val="005C754A"/>
    <w:rsid w:val="005D1B73"/>
    <w:rsid w:val="00600ABA"/>
    <w:rsid w:val="00615263"/>
    <w:rsid w:val="00622940"/>
    <w:rsid w:val="00661D34"/>
    <w:rsid w:val="00682CDD"/>
    <w:rsid w:val="006B2F8E"/>
    <w:rsid w:val="006D754D"/>
    <w:rsid w:val="0074611C"/>
    <w:rsid w:val="00756DE1"/>
    <w:rsid w:val="007A0AFF"/>
    <w:rsid w:val="007D0817"/>
    <w:rsid w:val="007E6AE7"/>
    <w:rsid w:val="0081473A"/>
    <w:rsid w:val="00854233"/>
    <w:rsid w:val="0095570C"/>
    <w:rsid w:val="00996D08"/>
    <w:rsid w:val="009F6497"/>
    <w:rsid w:val="00A07A4C"/>
    <w:rsid w:val="00A8131B"/>
    <w:rsid w:val="00A97229"/>
    <w:rsid w:val="00AA25EA"/>
    <w:rsid w:val="00BC3B79"/>
    <w:rsid w:val="00BC7E42"/>
    <w:rsid w:val="00BE191D"/>
    <w:rsid w:val="00BE27D8"/>
    <w:rsid w:val="00CC660B"/>
    <w:rsid w:val="00CD24D3"/>
    <w:rsid w:val="00D162CE"/>
    <w:rsid w:val="00D46EDA"/>
    <w:rsid w:val="00DA3459"/>
    <w:rsid w:val="00E0047C"/>
    <w:rsid w:val="00E4758D"/>
    <w:rsid w:val="00E5757A"/>
    <w:rsid w:val="00EA2E0C"/>
    <w:rsid w:val="00EB2E89"/>
    <w:rsid w:val="00EE2A4D"/>
    <w:rsid w:val="00F642A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06904"/>
  <w15:chartTrackingRefBased/>
  <w15:docId w15:val="{2CC344FB-80F7-4931-BB90-B34FEFA66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7D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E27D8"/>
    <w:rPr>
      <w:color w:val="0563C1" w:themeColor="hyperlink"/>
      <w:u w:val="single"/>
    </w:rPr>
  </w:style>
  <w:style w:type="paragraph" w:styleId="Prrafodelista">
    <w:name w:val="List Paragraph"/>
    <w:basedOn w:val="Normal"/>
    <w:uiPriority w:val="34"/>
    <w:qFormat/>
    <w:rsid w:val="00BE27D8"/>
    <w:pPr>
      <w:ind w:left="720"/>
      <w:contextualSpacing/>
    </w:pPr>
  </w:style>
  <w:style w:type="paragraph" w:styleId="Encabezado">
    <w:name w:val="header"/>
    <w:basedOn w:val="Normal"/>
    <w:link w:val="EncabezadoCar"/>
    <w:uiPriority w:val="99"/>
    <w:unhideWhenUsed/>
    <w:rsid w:val="009557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5570C"/>
  </w:style>
  <w:style w:type="paragraph" w:styleId="Piedepgina">
    <w:name w:val="footer"/>
    <w:basedOn w:val="Normal"/>
    <w:link w:val="PiedepginaCar"/>
    <w:uiPriority w:val="99"/>
    <w:unhideWhenUsed/>
    <w:rsid w:val="009557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5570C"/>
  </w:style>
  <w:style w:type="character" w:styleId="Mencinsinresolver">
    <w:name w:val="Unresolved Mention"/>
    <w:basedOn w:val="Fuentedeprrafopredeter"/>
    <w:uiPriority w:val="99"/>
    <w:semiHidden/>
    <w:unhideWhenUsed/>
    <w:rsid w:val="00600ABA"/>
    <w:rPr>
      <w:color w:val="605E5C"/>
      <w:shd w:val="clear" w:color="auto" w:fill="E1DFDD"/>
    </w:rPr>
  </w:style>
  <w:style w:type="character" w:styleId="Hipervnculovisitado">
    <w:name w:val="FollowedHyperlink"/>
    <w:basedOn w:val="Fuentedeprrafopredeter"/>
    <w:uiPriority w:val="99"/>
    <w:semiHidden/>
    <w:unhideWhenUsed/>
    <w:rsid w:val="006D754D"/>
    <w:rPr>
      <w:color w:val="954F72" w:themeColor="followedHyperlink"/>
      <w:u w:val="single"/>
    </w:rPr>
  </w:style>
  <w:style w:type="character" w:styleId="Nmerodepgina">
    <w:name w:val="page number"/>
    <w:basedOn w:val="Fuentedeprrafopredeter"/>
    <w:uiPriority w:val="99"/>
    <w:unhideWhenUsed/>
    <w:rsid w:val="00CD24D3"/>
  </w:style>
  <w:style w:type="paragraph" w:styleId="Textonotapie">
    <w:name w:val="footnote text"/>
    <w:basedOn w:val="Normal"/>
    <w:link w:val="TextonotapieCar"/>
    <w:uiPriority w:val="99"/>
    <w:semiHidden/>
    <w:unhideWhenUsed/>
    <w:rsid w:val="007A0AF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A0AFF"/>
    <w:rPr>
      <w:sz w:val="20"/>
      <w:szCs w:val="20"/>
    </w:rPr>
  </w:style>
  <w:style w:type="character" w:styleId="Refdenotaalpie">
    <w:name w:val="footnote reference"/>
    <w:basedOn w:val="Fuentedeprrafopredeter"/>
    <w:uiPriority w:val="99"/>
    <w:semiHidden/>
    <w:unhideWhenUsed/>
    <w:rsid w:val="007A0A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16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vistalarazonhistorica.com/app/download/10666701898/LRH+33.4.pdf?t=1469397661"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igital.csic.es/bitstream/10261/9777/1/Kant%20y%20la%20ilustraci%C3%B3n.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WHWOYRH1vH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socialhizo.com/geografia/mapas/europa-monarquias-segunda-mitad-del-siglo-xviii" TargetMode="External"/><Relationship Id="rId14" Type="http://schemas.openxmlformats.org/officeDocument/2006/relationships/hyperlink" Target="http://www.paginasobrefilosofia.com/html/kantpre/iluskant.html"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DE7F523-0245-4CEE-8C7E-8E7EF0D93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2664</Words>
  <Characters>14652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2021-11-18T21:14:00Z</dcterms:created>
  <dcterms:modified xsi:type="dcterms:W3CDTF">2021-11-18T21:14:00Z</dcterms:modified>
</cp:coreProperties>
</file>