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9B41" w14:textId="433EF640" w:rsidR="0043326A" w:rsidRPr="00D16336" w:rsidRDefault="0043326A" w:rsidP="0043326A">
      <w:pPr>
        <w:pStyle w:val="NormalWeb"/>
        <w:spacing w:before="0" w:beforeAutospacing="0" w:after="0" w:afterAutospacing="0"/>
        <w:jc w:val="center"/>
        <w:rPr>
          <w:b/>
          <w:bCs/>
          <w:color w:val="70AD47" w:themeColor="accent6"/>
        </w:rPr>
      </w:pPr>
      <w:r w:rsidRPr="00D16336">
        <w:rPr>
          <w:b/>
          <w:bCs/>
          <w:color w:val="70AD47" w:themeColor="accent6"/>
          <w:sz w:val="20"/>
          <w:szCs w:val="20"/>
        </w:rPr>
        <w:t>Facultad de Humanidades y Artes – UNR</w:t>
      </w:r>
    </w:p>
    <w:p w14:paraId="15C7F165" w14:textId="77777777" w:rsidR="0043326A" w:rsidRPr="00D16336" w:rsidRDefault="0043326A" w:rsidP="0043326A">
      <w:pPr>
        <w:pStyle w:val="NormalWeb"/>
        <w:spacing w:before="0" w:beforeAutospacing="0" w:after="0" w:afterAutospacing="0"/>
        <w:jc w:val="center"/>
        <w:rPr>
          <w:b/>
          <w:bCs/>
          <w:color w:val="70AD47" w:themeColor="accent6"/>
        </w:rPr>
      </w:pPr>
      <w:r w:rsidRPr="00D16336">
        <w:rPr>
          <w:b/>
          <w:bCs/>
          <w:color w:val="70AD47" w:themeColor="accent6"/>
          <w:sz w:val="20"/>
          <w:szCs w:val="20"/>
        </w:rPr>
        <w:t>Escuela de Antropología</w:t>
      </w:r>
    </w:p>
    <w:p w14:paraId="32846F02" w14:textId="77777777" w:rsidR="0043326A" w:rsidRPr="00D16336" w:rsidRDefault="0043326A" w:rsidP="0043326A">
      <w:pPr>
        <w:pStyle w:val="NormalWeb"/>
        <w:spacing w:before="0" w:beforeAutospacing="0" w:after="0" w:afterAutospacing="0"/>
        <w:jc w:val="center"/>
        <w:rPr>
          <w:b/>
          <w:bCs/>
          <w:color w:val="70AD47" w:themeColor="accent6"/>
        </w:rPr>
      </w:pPr>
      <w:r w:rsidRPr="00D16336">
        <w:rPr>
          <w:b/>
          <w:bCs/>
          <w:color w:val="70AD47" w:themeColor="accent6"/>
          <w:sz w:val="20"/>
          <w:szCs w:val="20"/>
        </w:rPr>
        <w:t>Corrientes Antropológicas I</w:t>
      </w:r>
    </w:p>
    <w:p w14:paraId="1DA365DD" w14:textId="4CFB1CBB" w:rsidR="0043326A" w:rsidRPr="00D16336" w:rsidRDefault="0043326A" w:rsidP="0043326A">
      <w:pPr>
        <w:pStyle w:val="NormalWeb"/>
        <w:spacing w:before="0" w:beforeAutospacing="0" w:after="0" w:afterAutospacing="0"/>
        <w:jc w:val="center"/>
        <w:rPr>
          <w:b/>
          <w:bCs/>
          <w:color w:val="70AD47" w:themeColor="accent6"/>
        </w:rPr>
      </w:pPr>
      <w:r w:rsidRPr="00D16336">
        <w:rPr>
          <w:b/>
          <w:bCs/>
          <w:color w:val="70AD47" w:themeColor="accent6"/>
          <w:sz w:val="20"/>
          <w:szCs w:val="20"/>
        </w:rPr>
        <w:t>Unidad II: El evolucionismo clásico</w:t>
      </w:r>
    </w:p>
    <w:p w14:paraId="372A66CD" w14:textId="77777777" w:rsidR="0043326A" w:rsidRDefault="008F4E1F" w:rsidP="00F64B7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p>
    <w:p w14:paraId="273FA51C" w14:textId="77777777" w:rsidR="0043326A" w:rsidRDefault="0043326A" w:rsidP="00F64B7B">
      <w:pPr>
        <w:spacing w:after="0" w:line="240" w:lineRule="auto"/>
        <w:jc w:val="right"/>
        <w:rPr>
          <w:rFonts w:ascii="Times New Roman" w:hAnsi="Times New Roman" w:cs="Times New Roman"/>
          <w:sz w:val="24"/>
          <w:szCs w:val="24"/>
        </w:rPr>
      </w:pPr>
    </w:p>
    <w:p w14:paraId="0A6599DE" w14:textId="77777777" w:rsidR="008F4E1F" w:rsidRDefault="008F4E1F" w:rsidP="008F4E1F">
      <w:pPr>
        <w:jc w:val="center"/>
        <w:rPr>
          <w:rFonts w:ascii="Arial" w:hAnsi="Arial" w:cs="Arial"/>
          <w:b/>
          <w:bCs/>
          <w:sz w:val="32"/>
          <w:szCs w:val="32"/>
        </w:rPr>
      </w:pPr>
    </w:p>
    <w:p w14:paraId="5CC695EC" w14:textId="77777777" w:rsidR="00461072" w:rsidRDefault="00461072" w:rsidP="008F4E1F">
      <w:pPr>
        <w:jc w:val="center"/>
        <w:rPr>
          <w:rFonts w:ascii="Arial" w:hAnsi="Arial" w:cs="Arial"/>
          <w:b/>
          <w:bCs/>
          <w:sz w:val="32"/>
          <w:szCs w:val="32"/>
        </w:rPr>
      </w:pPr>
      <w:r>
        <w:rPr>
          <w:rFonts w:ascii="Arial" w:hAnsi="Arial" w:cs="Arial"/>
          <w:b/>
          <w:bCs/>
          <w:sz w:val="32"/>
          <w:szCs w:val="32"/>
        </w:rPr>
        <w:t xml:space="preserve">Marco conceptual y metodológico del </w:t>
      </w:r>
    </w:p>
    <w:p w14:paraId="1E520D31" w14:textId="1ED007D1" w:rsidR="008F4E1F" w:rsidRDefault="00461072" w:rsidP="008F4E1F">
      <w:pPr>
        <w:jc w:val="center"/>
        <w:rPr>
          <w:rFonts w:ascii="Arial" w:hAnsi="Arial" w:cs="Arial"/>
          <w:b/>
          <w:bCs/>
          <w:sz w:val="32"/>
          <w:szCs w:val="32"/>
        </w:rPr>
      </w:pPr>
      <w:r>
        <w:rPr>
          <w:rFonts w:ascii="Arial" w:hAnsi="Arial" w:cs="Arial"/>
          <w:b/>
          <w:bCs/>
          <w:sz w:val="32"/>
          <w:szCs w:val="32"/>
        </w:rPr>
        <w:t>evolucionismo de</w:t>
      </w:r>
      <w:r w:rsidR="008F4E1F">
        <w:rPr>
          <w:rFonts w:ascii="Arial" w:hAnsi="Arial" w:cs="Arial"/>
          <w:b/>
          <w:bCs/>
          <w:sz w:val="32"/>
          <w:szCs w:val="32"/>
        </w:rPr>
        <w:t xml:space="preserve"> E.B.Tylor</w:t>
      </w:r>
    </w:p>
    <w:p w14:paraId="2DC8B09F" w14:textId="6179DC33" w:rsidR="00EF28A3" w:rsidRDefault="00EF28A3" w:rsidP="008F4E1F">
      <w:pPr>
        <w:jc w:val="center"/>
        <w:rPr>
          <w:rFonts w:ascii="Arial" w:hAnsi="Arial" w:cs="Arial"/>
          <w:sz w:val="24"/>
          <w:szCs w:val="24"/>
        </w:rPr>
      </w:pPr>
      <w:r w:rsidRPr="00EF28A3">
        <w:rPr>
          <w:rFonts w:ascii="Arial" w:hAnsi="Arial" w:cs="Arial"/>
          <w:sz w:val="24"/>
          <w:szCs w:val="24"/>
        </w:rPr>
        <w:t>(Documento base para la clase teórica, a desarrollar en dos sesiones)</w:t>
      </w:r>
    </w:p>
    <w:p w14:paraId="1B018066" w14:textId="77777777" w:rsidR="00DF6E6D" w:rsidRPr="00EF28A3" w:rsidRDefault="00DF6E6D" w:rsidP="008F4E1F">
      <w:pPr>
        <w:jc w:val="center"/>
        <w:rPr>
          <w:rFonts w:ascii="Arial" w:hAnsi="Arial" w:cs="Arial"/>
          <w:sz w:val="24"/>
          <w:szCs w:val="24"/>
        </w:rPr>
      </w:pPr>
    </w:p>
    <w:p w14:paraId="4CD0C46D" w14:textId="5B70D992" w:rsidR="008F4E1F" w:rsidRDefault="008F4E1F" w:rsidP="00EF28A3">
      <w:pPr>
        <w:spacing w:after="0" w:line="240" w:lineRule="auto"/>
        <w:jc w:val="right"/>
        <w:rPr>
          <w:rFonts w:ascii="Arial" w:hAnsi="Arial" w:cs="Arial"/>
          <w:b/>
          <w:bCs/>
          <w:sz w:val="24"/>
          <w:szCs w:val="24"/>
        </w:rPr>
      </w:pPr>
      <w:r>
        <w:rPr>
          <w:rFonts w:ascii="Arial" w:hAnsi="Arial" w:cs="Arial"/>
          <w:b/>
          <w:bCs/>
          <w:sz w:val="24"/>
          <w:szCs w:val="24"/>
        </w:rPr>
        <w:t>Por Silvana Sanchez</w:t>
      </w:r>
    </w:p>
    <w:p w14:paraId="1357A2B0" w14:textId="2CB63840" w:rsidR="00EF28A3" w:rsidRPr="00E4758D" w:rsidRDefault="00EF28A3" w:rsidP="00EF28A3">
      <w:pPr>
        <w:spacing w:after="0" w:line="240" w:lineRule="auto"/>
        <w:jc w:val="right"/>
        <w:rPr>
          <w:rFonts w:ascii="Arial" w:hAnsi="Arial" w:cs="Arial"/>
          <w:b/>
          <w:bCs/>
          <w:sz w:val="24"/>
          <w:szCs w:val="24"/>
        </w:rPr>
      </w:pPr>
      <w:r>
        <w:rPr>
          <w:rFonts w:ascii="Arial" w:hAnsi="Arial" w:cs="Arial"/>
          <w:b/>
          <w:bCs/>
          <w:sz w:val="24"/>
          <w:szCs w:val="24"/>
        </w:rPr>
        <w:t>Mayo de 2021</w:t>
      </w:r>
    </w:p>
    <w:p w14:paraId="000C6936" w14:textId="77777777" w:rsidR="008F4E1F" w:rsidRDefault="008F4E1F" w:rsidP="008F4E1F">
      <w:pPr>
        <w:rPr>
          <w:rFonts w:ascii="Times New Roman" w:hAnsi="Times New Roman" w:cs="Times New Roman"/>
          <w:sz w:val="28"/>
          <w:szCs w:val="28"/>
        </w:rPr>
      </w:pPr>
    </w:p>
    <w:p w14:paraId="772CE766" w14:textId="77777777" w:rsidR="008F4E1F" w:rsidRPr="004164B8" w:rsidRDefault="008F4E1F" w:rsidP="008F4E1F">
      <w:pPr>
        <w:rPr>
          <w:rFonts w:ascii="Arial Rounded MT Bold" w:hAnsi="Arial Rounded MT Bold"/>
          <w:color w:val="538135" w:themeColor="accent6" w:themeShade="BF"/>
          <w:sz w:val="28"/>
          <w:szCs w:val="28"/>
        </w:rPr>
      </w:pPr>
      <w:r w:rsidRPr="004164B8">
        <w:rPr>
          <w:rFonts w:ascii="Arial Rounded MT Bold" w:hAnsi="Arial Rounded MT Bold"/>
          <w:color w:val="538135" w:themeColor="accent6" w:themeShade="BF"/>
          <w:sz w:val="28"/>
          <w:szCs w:val="28"/>
        </w:rPr>
        <w:t>OBJETIVOS DE LA CLASE</w:t>
      </w:r>
    </w:p>
    <w:p w14:paraId="7253F8C7" w14:textId="517D5840" w:rsidR="000E2B52" w:rsidRPr="0081473A" w:rsidRDefault="000E2B52" w:rsidP="000E2B52">
      <w:pPr>
        <w:pStyle w:val="Prrafodelista"/>
        <w:numPr>
          <w:ilvl w:val="0"/>
          <w:numId w:val="2"/>
        </w:numPr>
        <w:jc w:val="both"/>
        <w:rPr>
          <w:rFonts w:ascii="Arial" w:hAnsi="Arial" w:cs="Arial"/>
          <w:b/>
          <w:bCs/>
          <w:sz w:val="28"/>
          <w:szCs w:val="28"/>
        </w:rPr>
      </w:pPr>
      <w:r>
        <w:rPr>
          <w:rFonts w:ascii="Arial" w:hAnsi="Arial" w:cs="Arial"/>
          <w:b/>
          <w:bCs/>
          <w:sz w:val="28"/>
          <w:szCs w:val="28"/>
        </w:rPr>
        <w:t>Presentar a E. Tylor, su lugar dentro de la antropología británica, y las corrientes intelectuales que lo influenciaron</w:t>
      </w:r>
    </w:p>
    <w:p w14:paraId="10B62966" w14:textId="040A9CCF" w:rsidR="008F4E1F" w:rsidRDefault="004702FC" w:rsidP="008F4E1F">
      <w:pPr>
        <w:pStyle w:val="Prrafodelista"/>
        <w:numPr>
          <w:ilvl w:val="0"/>
          <w:numId w:val="2"/>
        </w:numPr>
        <w:jc w:val="both"/>
        <w:rPr>
          <w:rFonts w:ascii="Arial" w:hAnsi="Arial" w:cs="Arial"/>
          <w:b/>
          <w:bCs/>
          <w:sz w:val="28"/>
          <w:szCs w:val="28"/>
        </w:rPr>
      </w:pPr>
      <w:r>
        <w:rPr>
          <w:rFonts w:ascii="Arial" w:hAnsi="Arial" w:cs="Arial"/>
          <w:b/>
          <w:bCs/>
          <w:sz w:val="28"/>
          <w:szCs w:val="28"/>
        </w:rPr>
        <w:t>Reconocer los grandes ejes conceptuales y metodológicos del pensamiento evolucionista de Tylor.</w:t>
      </w:r>
    </w:p>
    <w:p w14:paraId="11587F60" w14:textId="2E4E7764" w:rsidR="008F4E1F" w:rsidRDefault="008F4E1F" w:rsidP="008F4E1F">
      <w:pPr>
        <w:rPr>
          <w:rFonts w:ascii="Arial" w:hAnsi="Arial" w:cs="Arial"/>
          <w:b/>
          <w:bCs/>
          <w:sz w:val="24"/>
          <w:szCs w:val="24"/>
        </w:rPr>
      </w:pPr>
    </w:p>
    <w:p w14:paraId="134703AF" w14:textId="77777777" w:rsidR="000E2B52" w:rsidRDefault="000E2B52" w:rsidP="008F4E1F">
      <w:pPr>
        <w:rPr>
          <w:rFonts w:ascii="Arial" w:hAnsi="Arial" w:cs="Arial"/>
          <w:b/>
          <w:bCs/>
          <w:sz w:val="24"/>
          <w:szCs w:val="24"/>
        </w:rPr>
      </w:pPr>
    </w:p>
    <w:p w14:paraId="3A76C446" w14:textId="77777777" w:rsidR="000E2B52" w:rsidRPr="00DB6BA7" w:rsidRDefault="000E2B52" w:rsidP="000E2B52">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Presentación de Edward B. Tylor</w:t>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t xml:space="preserve">      </w:t>
      </w:r>
      <w:r>
        <w:rPr>
          <w:rFonts w:ascii="Arial Rounded MT Bold" w:hAnsi="Arial Rounded MT Bold" w:cs="Arial"/>
          <w:b/>
          <w:bCs/>
          <w:noProof/>
          <w:color w:val="538135" w:themeColor="accent6" w:themeShade="BF"/>
          <w:sz w:val="28"/>
          <w:szCs w:val="28"/>
        </w:rPr>
        <w:drawing>
          <wp:anchor distT="0" distB="0" distL="114300" distR="114300" simplePos="0" relativeHeight="251659264" behindDoc="0" locked="0" layoutInCell="1" allowOverlap="1" wp14:anchorId="7088996F" wp14:editId="43733308">
            <wp:simplePos x="0" y="0"/>
            <wp:positionH relativeFrom="margin">
              <wp:align>right</wp:align>
            </wp:positionH>
            <wp:positionV relativeFrom="paragraph">
              <wp:posOffset>18415</wp:posOffset>
            </wp:positionV>
            <wp:extent cx="813435" cy="842010"/>
            <wp:effectExtent l="19050" t="19050" r="24765" b="152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extLst>
                        <a:ext uri="{28A0092B-C50C-407E-A947-70E740481C1C}">
                          <a14:useLocalDpi xmlns:a14="http://schemas.microsoft.com/office/drawing/2010/main" val="0"/>
                        </a:ext>
                      </a:extLst>
                    </a:blip>
                    <a:stretch>
                      <a:fillRect/>
                    </a:stretch>
                  </pic:blipFill>
                  <pic:spPr>
                    <a:xfrm>
                      <a:off x="0" y="0"/>
                      <a:ext cx="813435" cy="842010"/>
                    </a:xfrm>
                    <a:prstGeom prst="rect">
                      <a:avLst/>
                    </a:prstGeom>
                    <a:ln>
                      <a:solidFill>
                        <a:srgbClr val="00B050"/>
                      </a:solidFill>
                    </a:ln>
                  </pic:spPr>
                </pic:pic>
              </a:graphicData>
            </a:graphic>
            <wp14:sizeRelH relativeFrom="page">
              <wp14:pctWidth>0</wp14:pctWidth>
            </wp14:sizeRelH>
            <wp14:sizeRelV relativeFrom="page">
              <wp14:pctHeight>0</wp14:pctHeight>
            </wp14:sizeRelV>
          </wp:anchor>
        </w:drawing>
      </w:r>
      <w:r>
        <w:rPr>
          <w:rFonts w:ascii="Arial Rounded MT Bold" w:hAnsi="Arial Rounded MT Bold" w:cs="Arial"/>
          <w:b/>
          <w:bCs/>
          <w:color w:val="538135" w:themeColor="accent6" w:themeShade="BF"/>
          <w:sz w:val="28"/>
          <w:szCs w:val="28"/>
        </w:rPr>
        <w:t xml:space="preserve">                                                                                         </w:t>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r>
        <w:rPr>
          <w:rFonts w:ascii="Arial Rounded MT Bold" w:hAnsi="Arial Rounded MT Bold" w:cs="Arial"/>
          <w:b/>
          <w:bCs/>
          <w:color w:val="538135" w:themeColor="accent6" w:themeShade="BF"/>
          <w:sz w:val="28"/>
          <w:szCs w:val="28"/>
        </w:rPr>
        <w:tab/>
      </w:r>
    </w:p>
    <w:p w14:paraId="79547277" w14:textId="77777777" w:rsidR="000E2B52" w:rsidRDefault="000E2B52" w:rsidP="000E2B52">
      <w:pPr>
        <w:pStyle w:val="Prrafodelista"/>
        <w:spacing w:after="0" w:line="360" w:lineRule="auto"/>
        <w:ind w:left="0" w:firstLine="708"/>
        <w:jc w:val="both"/>
        <w:rPr>
          <w:rFonts w:ascii="Arial" w:hAnsi="Arial" w:cs="Arial"/>
          <w:sz w:val="24"/>
          <w:szCs w:val="24"/>
        </w:rPr>
      </w:pPr>
    </w:p>
    <w:p w14:paraId="37B8328C" w14:textId="2DF0DE32" w:rsidR="000E2B52" w:rsidRDefault="000E2B52" w:rsidP="000E2B52">
      <w:pPr>
        <w:pStyle w:val="Prrafodelista"/>
        <w:spacing w:after="0" w:line="360" w:lineRule="auto"/>
        <w:ind w:left="0" w:firstLine="708"/>
        <w:jc w:val="both"/>
        <w:rPr>
          <w:rFonts w:ascii="Arial" w:hAnsi="Arial" w:cs="Arial"/>
          <w:sz w:val="24"/>
          <w:szCs w:val="24"/>
        </w:rPr>
      </w:pPr>
    </w:p>
    <w:p w14:paraId="0C88F504" w14:textId="77777777" w:rsidR="008277D3" w:rsidRDefault="008277D3" w:rsidP="000E2B52">
      <w:pPr>
        <w:pStyle w:val="Prrafodelista"/>
        <w:spacing w:after="0" w:line="360" w:lineRule="auto"/>
        <w:ind w:left="0" w:firstLine="708"/>
        <w:jc w:val="both"/>
        <w:rPr>
          <w:rFonts w:ascii="Arial" w:hAnsi="Arial" w:cs="Arial"/>
          <w:sz w:val="24"/>
          <w:szCs w:val="24"/>
        </w:rPr>
      </w:pPr>
    </w:p>
    <w:p w14:paraId="3077ED51" w14:textId="77777777" w:rsidR="000E2B52" w:rsidRPr="00B64ADA" w:rsidRDefault="000E2B52" w:rsidP="000E2B52">
      <w:pPr>
        <w:pStyle w:val="Prrafodelista"/>
        <w:numPr>
          <w:ilvl w:val="0"/>
          <w:numId w:val="3"/>
        </w:numPr>
        <w:spacing w:after="0" w:line="360" w:lineRule="auto"/>
        <w:jc w:val="both"/>
        <w:rPr>
          <w:rFonts w:ascii="Arial" w:hAnsi="Arial" w:cs="Arial"/>
          <w:sz w:val="24"/>
          <w:szCs w:val="24"/>
          <w:highlight w:val="cyan"/>
        </w:rPr>
      </w:pPr>
      <w:r w:rsidRPr="00623D5B">
        <w:rPr>
          <w:rFonts w:ascii="Arial" w:hAnsi="Arial" w:cs="Arial"/>
          <w:sz w:val="24"/>
          <w:szCs w:val="24"/>
          <w:highlight w:val="cyan"/>
        </w:rPr>
        <w:t>Tylor y la consolidación de la Antropología en Gran Bretaña</w:t>
      </w:r>
    </w:p>
    <w:p w14:paraId="03D808B5" w14:textId="77777777" w:rsidR="000E2B52" w:rsidRPr="008709D3"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La figura de Tylor está firmemente entrelazada con los comienzos de la profesionalización de la antropología en Inglaterra. Al decir de Palerm (1987), se puede sostener que Tylor transformó a la antropología en una disciplina académica y en una actividad profesional. Si bien no tuvo diploma universitario, en 1896 se convirtió en el primer profesor de Antropología de Oxford, y de Gran Bretaña (Hatch, 1975:23). </w:t>
      </w:r>
      <w:r w:rsidRPr="008709D3">
        <w:rPr>
          <w:rFonts w:ascii="Arial" w:hAnsi="Arial" w:cs="Arial"/>
          <w:sz w:val="24"/>
          <w:szCs w:val="24"/>
        </w:rPr>
        <w:t xml:space="preserve">“De esta manera, Tylor fue, no sólo uno de los creadores de la teoría y el método antropológicos, sino también un gran organizador de la antropología académica, un notable maestro y un </w:t>
      </w:r>
      <w:r w:rsidRPr="008709D3">
        <w:rPr>
          <w:rFonts w:ascii="Arial" w:hAnsi="Arial" w:cs="Arial"/>
          <w:sz w:val="24"/>
          <w:szCs w:val="24"/>
        </w:rPr>
        <w:lastRenderedPageBreak/>
        <w:t xml:space="preserve">extraordinario divulgador.” (Palerm, </w:t>
      </w:r>
      <w:r>
        <w:rPr>
          <w:rFonts w:ascii="Arial" w:hAnsi="Arial" w:cs="Arial"/>
          <w:sz w:val="24"/>
          <w:szCs w:val="24"/>
        </w:rPr>
        <w:t>1987:</w:t>
      </w:r>
      <w:r w:rsidRPr="008709D3">
        <w:rPr>
          <w:rFonts w:ascii="Arial" w:hAnsi="Arial" w:cs="Arial"/>
          <w:sz w:val="24"/>
          <w:szCs w:val="24"/>
        </w:rPr>
        <w:t>21).</w:t>
      </w:r>
      <w:r>
        <w:rPr>
          <w:rFonts w:ascii="Arial" w:hAnsi="Arial" w:cs="Arial"/>
          <w:sz w:val="24"/>
          <w:szCs w:val="24"/>
        </w:rPr>
        <w:t xml:space="preserve"> También fue un gran impulsor del trabajo de campo, organizando las primeras expediciones científicas británicas de carácter antropológico, aunque no participó en ellas.</w:t>
      </w:r>
    </w:p>
    <w:p w14:paraId="11D2B7C9"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Efectivamente, fueron los británicos quienes comenzaron el proceso de profesionalización de la antropología. El camino hacia el establecimiento de cátedras y departamentos de antropología fue preparado durante largo tiempo en Gran Bretaña por la actividad científica de los etnólogos y por la aparición de varias sociedades de carácter profesional, como la Sociedad Etnológica de Londres, creada en 1843, la Sociedad Antropológica de Londres de 1863, el Real Instituto Antropológico de Gran Bretaña e Irlanda en 1871, del que Tylor fue dos veces presidente.</w:t>
      </w:r>
    </w:p>
    <w:p w14:paraId="5BE15E0E" w14:textId="0145191A"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Es importante situar este proceso de consolidación institucional y profesional de la Antropología, en el contexto histórico-político de la llamada “era victoriana”, en que el Imperio Británico alcanz</w:t>
      </w:r>
      <w:r w:rsidR="00DF6E6D">
        <w:rPr>
          <w:rFonts w:ascii="Arial" w:hAnsi="Arial" w:cs="Arial"/>
          <w:sz w:val="24"/>
          <w:szCs w:val="24"/>
        </w:rPr>
        <w:t>ó</w:t>
      </w:r>
      <w:r>
        <w:rPr>
          <w:rFonts w:ascii="Arial" w:hAnsi="Arial" w:cs="Arial"/>
          <w:sz w:val="24"/>
          <w:szCs w:val="24"/>
        </w:rPr>
        <w:t xml:space="preserve"> su apoge</w:t>
      </w:r>
      <w:r w:rsidR="00DF6E6D">
        <w:rPr>
          <w:rFonts w:ascii="Arial" w:hAnsi="Arial" w:cs="Arial"/>
          <w:sz w:val="24"/>
          <w:szCs w:val="24"/>
        </w:rPr>
        <w:t xml:space="preserve">o. A su vez, la institucionalización de la Antropología se inscribe </w:t>
      </w:r>
      <w:r>
        <w:rPr>
          <w:rFonts w:ascii="Arial" w:hAnsi="Arial" w:cs="Arial"/>
          <w:sz w:val="24"/>
          <w:szCs w:val="24"/>
        </w:rPr>
        <w:t>como parte del devenir de la ciencia británica durante dicha era, caracterizado por el entusiasmo por la ciencia</w:t>
      </w:r>
      <w:r w:rsidR="00DF6E6D">
        <w:rPr>
          <w:rFonts w:ascii="Arial" w:hAnsi="Arial" w:cs="Arial"/>
          <w:sz w:val="24"/>
          <w:szCs w:val="24"/>
        </w:rPr>
        <w:t xml:space="preserve"> -a la que se concibió</w:t>
      </w:r>
      <w:r>
        <w:rPr>
          <w:rFonts w:ascii="Arial" w:hAnsi="Arial" w:cs="Arial"/>
          <w:sz w:val="24"/>
          <w:szCs w:val="24"/>
        </w:rPr>
        <w:t xml:space="preserve"> como base para el progreso de la sociedad</w:t>
      </w:r>
      <w:r w:rsidR="00DF6E6D">
        <w:rPr>
          <w:rFonts w:ascii="Arial" w:hAnsi="Arial" w:cs="Arial"/>
          <w:sz w:val="24"/>
          <w:szCs w:val="24"/>
        </w:rPr>
        <w:t>-,</w:t>
      </w:r>
      <w:r>
        <w:rPr>
          <w:rFonts w:ascii="Arial" w:hAnsi="Arial" w:cs="Arial"/>
          <w:sz w:val="24"/>
          <w:szCs w:val="24"/>
        </w:rPr>
        <w:t xml:space="preserve"> el interés por presentar al público en general los avances científicos, la necesidad de crear nuevas instituciones para la enseñanza y difusión de todas las áreas del conocimiento y de transitar hacia la profesionalización de la práctica científica. Una institución clave en este sentido fue la Sociedad Británica para el Avance de la Ciencia, creada en 1831, cuyas reuniones anuales -principalmente a lo largo de la década de 1860- constituyeron el principal foro en donde tuvieron lugar las grandes controversias antropológicas del período. (Stocking, 1987, citado en Rodríguez Caso, 2018), y en su seno se creó el primer Departamento de Antropología en Inglaterra, del que Tylor fue presidente.</w:t>
      </w:r>
    </w:p>
    <w:p w14:paraId="6FE2163A" w14:textId="3E13C9E5"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Hay que destacar entonces, que las </w:t>
      </w:r>
      <w:r w:rsidR="00BC6D81">
        <w:rPr>
          <w:rFonts w:ascii="Arial" w:hAnsi="Arial" w:cs="Arial"/>
          <w:sz w:val="24"/>
          <w:szCs w:val="24"/>
        </w:rPr>
        <w:t>“</w:t>
      </w:r>
      <w:r>
        <w:rPr>
          <w:rFonts w:ascii="Arial" w:hAnsi="Arial" w:cs="Arial"/>
          <w:sz w:val="24"/>
          <w:szCs w:val="24"/>
        </w:rPr>
        <w:t>ciencias del hombre</w:t>
      </w:r>
      <w:r w:rsidR="00BC6D81">
        <w:rPr>
          <w:rFonts w:ascii="Arial" w:hAnsi="Arial" w:cs="Arial"/>
          <w:sz w:val="24"/>
          <w:szCs w:val="24"/>
        </w:rPr>
        <w:t>”</w:t>
      </w:r>
      <w:r>
        <w:rPr>
          <w:rFonts w:ascii="Arial" w:hAnsi="Arial" w:cs="Arial"/>
          <w:sz w:val="24"/>
          <w:szCs w:val="24"/>
        </w:rPr>
        <w:t xml:space="preserve"> en Gran Bretaña estuvieron marcadas en gran medida por las discusiones que se dieron en las mencionadas instituciones, que impulsaron el estudio científico de temas como la antigüedad de la humanidad, el origen de las razas y la evolución humana.</w:t>
      </w:r>
    </w:p>
    <w:p w14:paraId="4F7B926D"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Uno de los focos de discusión de ese período fueron los orígenes de la humanidad, que se expresó en el enfrentamiento entre monogenistas y </w:t>
      </w:r>
      <w:r>
        <w:rPr>
          <w:rFonts w:ascii="Arial" w:hAnsi="Arial" w:cs="Arial"/>
          <w:sz w:val="24"/>
          <w:szCs w:val="24"/>
        </w:rPr>
        <w:lastRenderedPageBreak/>
        <w:t>poligenistas</w:t>
      </w:r>
      <w:r>
        <w:rPr>
          <w:rStyle w:val="Refdenotaalpie"/>
          <w:rFonts w:ascii="Arial" w:hAnsi="Arial" w:cs="Arial"/>
          <w:sz w:val="24"/>
          <w:szCs w:val="24"/>
        </w:rPr>
        <w:footnoteReference w:id="1"/>
      </w:r>
      <w:r w:rsidRPr="00E15F8B">
        <w:rPr>
          <w:rFonts w:ascii="Arial" w:hAnsi="Arial" w:cs="Arial"/>
          <w:sz w:val="24"/>
          <w:szCs w:val="24"/>
        </w:rPr>
        <w:t xml:space="preserve">. </w:t>
      </w:r>
      <w:r>
        <w:rPr>
          <w:rFonts w:ascii="Arial" w:hAnsi="Arial" w:cs="Arial"/>
          <w:sz w:val="24"/>
          <w:szCs w:val="24"/>
        </w:rPr>
        <w:t>Por otra parte, la divergencia de puntos de vista acerca del desarrollo del hombre y la cultura. enfrentó a progresionistas y degradacionistas. La gran antigüedad prehistórica del ser humano también constituyó un núcleo importante de debate en ese tiempo, en tanto las evidencias de sus remotos orígenes eran cada vez mayores.</w:t>
      </w:r>
      <w:r>
        <w:rPr>
          <w:rStyle w:val="Refdenotaalpie"/>
          <w:rFonts w:ascii="Arial" w:hAnsi="Arial" w:cs="Arial"/>
          <w:sz w:val="24"/>
          <w:szCs w:val="24"/>
        </w:rPr>
        <w:footnoteReference w:id="2"/>
      </w:r>
    </w:p>
    <w:p w14:paraId="59B258AB" w14:textId="56CDC013"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Todos los puntos centrales de la Antropología de Tylor se inscriben en estas grandes polémicas, al calor de las cuales, la Antropología se convertirá en una disciplina consciente de sí misma y profesional. Como parte de ese proceso, hubo un enorme esfuerzo por sistematizar la teoría, los conceptos y los métodos; por definir el campo de esta ciencia nueva y polémica (Hatch, 1975).</w:t>
      </w:r>
    </w:p>
    <w:p w14:paraId="0CE05252" w14:textId="77777777" w:rsidR="000E2B52" w:rsidRDefault="000E2B52" w:rsidP="000E2B52">
      <w:pPr>
        <w:pStyle w:val="Prrafodelista"/>
        <w:spacing w:after="0" w:line="360" w:lineRule="auto"/>
        <w:ind w:left="0" w:firstLine="708"/>
        <w:jc w:val="both"/>
        <w:rPr>
          <w:rFonts w:ascii="Arial" w:hAnsi="Arial" w:cs="Arial"/>
          <w:sz w:val="24"/>
          <w:szCs w:val="24"/>
        </w:rPr>
      </w:pPr>
    </w:p>
    <w:p w14:paraId="72484C30" w14:textId="77777777" w:rsidR="000E2B52" w:rsidRDefault="000E2B52" w:rsidP="000E2B52">
      <w:pPr>
        <w:spacing w:after="0" w:line="360" w:lineRule="auto"/>
        <w:jc w:val="both"/>
        <w:rPr>
          <w:rFonts w:ascii="Arial" w:hAnsi="Arial" w:cs="Arial"/>
          <w:sz w:val="24"/>
          <w:szCs w:val="24"/>
        </w:rPr>
      </w:pPr>
      <w:r>
        <w:rPr>
          <w:rFonts w:ascii="Arial" w:hAnsi="Arial" w:cs="Arial"/>
          <w:sz w:val="24"/>
          <w:szCs w:val="24"/>
        </w:rPr>
        <w:t xml:space="preserve"> </w:t>
      </w:r>
      <w:r w:rsidRPr="00623D5B">
        <w:rPr>
          <w:rFonts w:ascii="Arial" w:hAnsi="Arial" w:cs="Arial"/>
          <w:sz w:val="24"/>
          <w:szCs w:val="24"/>
          <w:highlight w:val="cyan"/>
        </w:rPr>
        <w:t>b) Notas biográficas</w:t>
      </w:r>
    </w:p>
    <w:p w14:paraId="5A9FB091"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A continuación, transcribo párrafos de Palerm (1987) en los que traza algunos rasgos salientes de la biografía de Tylor:</w:t>
      </w:r>
    </w:p>
    <w:p w14:paraId="3B459081" w14:textId="77777777" w:rsidR="000E2B52" w:rsidRDefault="000E2B52" w:rsidP="000E2B52">
      <w:pPr>
        <w:pStyle w:val="Prrafodelista"/>
        <w:spacing w:after="0" w:line="360" w:lineRule="auto"/>
        <w:ind w:left="0" w:firstLine="708"/>
        <w:jc w:val="both"/>
        <w:rPr>
          <w:rFonts w:ascii="Arial" w:hAnsi="Arial" w:cs="Arial"/>
          <w:sz w:val="24"/>
          <w:szCs w:val="24"/>
        </w:rPr>
      </w:pPr>
    </w:p>
    <w:p w14:paraId="76C578EE" w14:textId="77777777" w:rsidR="000E2B52" w:rsidRPr="00DA4AC2" w:rsidRDefault="000E2B52" w:rsidP="000E2B52">
      <w:pPr>
        <w:pStyle w:val="Prrafodelista"/>
        <w:shd w:val="clear" w:color="auto" w:fill="E2EFD9" w:themeFill="accent6" w:themeFillTint="33"/>
        <w:spacing w:after="0" w:line="240" w:lineRule="auto"/>
        <w:ind w:left="709" w:firstLine="709"/>
        <w:jc w:val="both"/>
        <w:rPr>
          <w:rFonts w:ascii="Arial" w:hAnsi="Arial" w:cs="Arial"/>
        </w:rPr>
      </w:pPr>
      <w:r w:rsidRPr="00DA4AC2">
        <w:rPr>
          <w:rFonts w:ascii="Arial" w:hAnsi="Arial" w:cs="Arial"/>
        </w:rPr>
        <w:t>Edward Burnett Tylor (1832-1917) nació en una familia cuáquera de empresarios industriales, dos hechos de indudable relevancia en su formación intelectual. O sea, su pertenencia a una nueva clase social en ascenso desde fines del siglo XVIIl, y su adscripción a un movimiento ético-religioso disidente, caracterizado en aquel tiempo por sus preocupaciones sociales. (…)</w:t>
      </w:r>
    </w:p>
    <w:p w14:paraId="10BD3B06" w14:textId="428381EE" w:rsidR="000E2B52" w:rsidRPr="00DA4AC2" w:rsidRDefault="000E2B52" w:rsidP="000E2B52">
      <w:pPr>
        <w:pStyle w:val="Prrafodelista"/>
        <w:shd w:val="clear" w:color="auto" w:fill="E2EFD9" w:themeFill="accent6" w:themeFillTint="33"/>
        <w:spacing w:after="0" w:line="240" w:lineRule="auto"/>
        <w:ind w:left="709" w:firstLine="709"/>
        <w:jc w:val="both"/>
        <w:rPr>
          <w:rFonts w:ascii="Arial" w:hAnsi="Arial" w:cs="Arial"/>
        </w:rPr>
      </w:pPr>
      <w:r w:rsidRPr="00DA4AC2">
        <w:rPr>
          <w:rFonts w:ascii="Arial" w:hAnsi="Arial" w:cs="Arial"/>
        </w:rPr>
        <w:t>Tylor no había recibido una educación formal al estilo de la época, predominantemente humanista y clásica, quizá como resultado de la actitud disidente de los cuá</w:t>
      </w:r>
      <w:r w:rsidR="002733AB">
        <w:rPr>
          <w:rFonts w:ascii="Arial" w:hAnsi="Arial" w:cs="Arial"/>
        </w:rPr>
        <w:t>q</w:t>
      </w:r>
      <w:r w:rsidRPr="00DA4AC2">
        <w:rPr>
          <w:rFonts w:ascii="Arial" w:hAnsi="Arial" w:cs="Arial"/>
        </w:rPr>
        <w:t xml:space="preserve">ueros y de su </w:t>
      </w:r>
      <w:r>
        <w:rPr>
          <w:rFonts w:ascii="Arial" w:hAnsi="Arial" w:cs="Arial"/>
        </w:rPr>
        <w:t>f</w:t>
      </w:r>
      <w:r w:rsidRPr="00DA4AC2">
        <w:rPr>
          <w:rFonts w:ascii="Arial" w:hAnsi="Arial" w:cs="Arial"/>
        </w:rPr>
        <w:t>utura ocupación en el negocio industrial de la familia. A los 2Ü años de edad, en apariencia enfermo de tuberculosis, fue enviado a un largo viaje de descanso. En 1855 estaba en América, y en La Habana conoció a Henry Chris</w:t>
      </w:r>
      <w:r w:rsidR="002733AB">
        <w:rPr>
          <w:rFonts w:ascii="Arial" w:hAnsi="Arial" w:cs="Arial"/>
        </w:rPr>
        <w:t>t</w:t>
      </w:r>
      <w:r w:rsidRPr="00DA4AC2">
        <w:rPr>
          <w:rFonts w:ascii="Arial" w:hAnsi="Arial" w:cs="Arial"/>
        </w:rPr>
        <w:t xml:space="preserve">y, un arqueólogo y coleccionista norteamericano que había participado en la gran polémica europea sobre la antigüedad del </w:t>
      </w:r>
      <w:r w:rsidRPr="00DA4AC2">
        <w:rPr>
          <w:rFonts w:ascii="Arial" w:hAnsi="Arial" w:cs="Arial"/>
        </w:rPr>
        <w:lastRenderedPageBreak/>
        <w:t>hombre. Juntos se dirigieron a México. No hay duda de que la relación con Christy y la experiencia mexicana despertaron, o cuando menos confirmaron, los intereses antropológicos de Tylor. Aunque el relato de su viaje a México {Anahuac) es la narración entretenida y brillante de un observador inteligente y acucioso, su publicación fue seguida cuatro años después por la de Researches into the</w:t>
      </w:r>
      <w:r>
        <w:rPr>
          <w:rFonts w:ascii="Arial" w:hAnsi="Arial" w:cs="Arial"/>
        </w:rPr>
        <w:t xml:space="preserve"> </w:t>
      </w:r>
      <w:r w:rsidRPr="00DA4AC2">
        <w:rPr>
          <w:rFonts w:ascii="Arial" w:hAnsi="Arial" w:cs="Arial"/>
        </w:rPr>
        <w:t>Early History of</w:t>
      </w:r>
      <w:r>
        <w:rPr>
          <w:rFonts w:ascii="Arial" w:hAnsi="Arial" w:cs="Arial"/>
        </w:rPr>
        <w:t xml:space="preserve"> </w:t>
      </w:r>
      <w:r w:rsidRPr="00DA4AC2">
        <w:rPr>
          <w:rFonts w:ascii="Arial" w:hAnsi="Arial" w:cs="Arial"/>
        </w:rPr>
        <w:t>Mankind. (…)</w:t>
      </w:r>
    </w:p>
    <w:p w14:paraId="468E12B2" w14:textId="77777777" w:rsidR="000E2B52" w:rsidRPr="00DA4AC2" w:rsidRDefault="000E2B52" w:rsidP="000E2B52">
      <w:pPr>
        <w:pStyle w:val="Prrafodelista"/>
        <w:shd w:val="clear" w:color="auto" w:fill="E2EFD9" w:themeFill="accent6" w:themeFillTint="33"/>
        <w:spacing w:after="0" w:line="240" w:lineRule="auto"/>
        <w:ind w:left="709" w:firstLine="709"/>
        <w:jc w:val="both"/>
        <w:rPr>
          <w:rFonts w:ascii="Arial" w:hAnsi="Arial" w:cs="Arial"/>
          <w:sz w:val="24"/>
          <w:szCs w:val="24"/>
        </w:rPr>
      </w:pPr>
      <w:r w:rsidRPr="00DA4AC2">
        <w:rPr>
          <w:rFonts w:ascii="Arial" w:hAnsi="Arial" w:cs="Arial"/>
        </w:rPr>
        <w:t>A partir de 1881, fecha de publicación de su último libro {Anthropology), dedicó sus mayores esfuerzos a la organización, propagación y popularización de la antropología. En 1883 lo nombraron conservador del Museo de la Universidad de Oxford, que contenía las colecciones etnográficas reunidas por el general Pitt-Rivers para ilustrar sus ideas sobre la evolución de la tecnología. En 1884 comenzó unos ciclos de conferencias en el museo, que sirvieron para divulgar la antropología en los círculos cultos de Inglaterra. El mismo año la Universidad estableció para él un Readership en antropología. En 1896 fue designado catedrático de antropología, cargo que ejerció hasta 1909, en que se retiró por motivos de precaria salud</w:t>
      </w:r>
      <w:r>
        <w:rPr>
          <w:rFonts w:ascii="Arial" w:hAnsi="Arial" w:cs="Arial"/>
        </w:rPr>
        <w:t xml:space="preserve"> (…)” (Palerm, 1987)</w:t>
      </w:r>
    </w:p>
    <w:p w14:paraId="5370155F" w14:textId="77777777" w:rsidR="000E2B52" w:rsidRDefault="000E2B52" w:rsidP="000E2B52">
      <w:pPr>
        <w:pStyle w:val="Prrafodelista"/>
        <w:spacing w:after="0" w:line="360" w:lineRule="auto"/>
        <w:ind w:left="0" w:firstLine="708"/>
        <w:jc w:val="both"/>
        <w:rPr>
          <w:rFonts w:ascii="Arial" w:hAnsi="Arial" w:cs="Arial"/>
          <w:sz w:val="24"/>
          <w:szCs w:val="24"/>
        </w:rPr>
      </w:pPr>
    </w:p>
    <w:p w14:paraId="00F5B34E" w14:textId="4879FC74"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Además de </w:t>
      </w:r>
      <w:r w:rsidRPr="003C0A3B">
        <w:rPr>
          <w:rFonts w:ascii="Arial" w:hAnsi="Arial" w:cs="Arial"/>
          <w:i/>
          <w:iCs/>
          <w:sz w:val="24"/>
          <w:szCs w:val="24"/>
        </w:rPr>
        <w:t>Anahuac</w:t>
      </w:r>
      <w:r>
        <w:rPr>
          <w:rFonts w:ascii="Arial" w:hAnsi="Arial" w:cs="Arial"/>
          <w:sz w:val="24"/>
          <w:szCs w:val="24"/>
        </w:rPr>
        <w:t xml:space="preserve"> y </w:t>
      </w:r>
      <w:r w:rsidRPr="003C0A3B">
        <w:rPr>
          <w:rFonts w:ascii="Arial" w:hAnsi="Arial" w:cs="Arial"/>
          <w:i/>
          <w:iCs/>
          <w:sz w:val="24"/>
          <w:szCs w:val="24"/>
        </w:rPr>
        <w:t>de Antropología</w:t>
      </w:r>
      <w:r>
        <w:rPr>
          <w:rFonts w:ascii="Arial" w:hAnsi="Arial" w:cs="Arial"/>
          <w:sz w:val="24"/>
          <w:szCs w:val="24"/>
        </w:rPr>
        <w:t xml:space="preserve">, aparecidas en 1861 y 1881 respectivamente, en los veinte años intermedios, Tylor escribió </w:t>
      </w:r>
      <w:r w:rsidRPr="003C0A3B">
        <w:rPr>
          <w:rFonts w:ascii="Arial" w:hAnsi="Arial" w:cs="Arial"/>
          <w:i/>
          <w:iCs/>
          <w:sz w:val="24"/>
          <w:szCs w:val="24"/>
        </w:rPr>
        <w:t>Investigaciones en la primitiva historia de la humanidad y el desarrollo de la civilización</w:t>
      </w:r>
      <w:r>
        <w:rPr>
          <w:rFonts w:ascii="Arial" w:hAnsi="Arial" w:cs="Arial"/>
          <w:sz w:val="24"/>
          <w:szCs w:val="24"/>
        </w:rPr>
        <w:t xml:space="preserve"> (1865) y la monumental </w:t>
      </w:r>
      <w:r w:rsidRPr="003C0A3B">
        <w:rPr>
          <w:rFonts w:ascii="Arial" w:hAnsi="Arial" w:cs="Arial"/>
          <w:i/>
          <w:iCs/>
          <w:sz w:val="24"/>
          <w:szCs w:val="24"/>
        </w:rPr>
        <w:t>Cultura Primitiva</w:t>
      </w:r>
      <w:r>
        <w:rPr>
          <w:rFonts w:ascii="Arial" w:hAnsi="Arial" w:cs="Arial"/>
          <w:sz w:val="24"/>
          <w:szCs w:val="24"/>
        </w:rPr>
        <w:t xml:space="preserve"> (1971). A su vez, publicó una gran cantidad de ensayos y artículos.</w:t>
      </w:r>
      <w:r w:rsidR="003D5AFC">
        <w:rPr>
          <w:rFonts w:ascii="Arial" w:hAnsi="Arial" w:cs="Arial"/>
          <w:sz w:val="24"/>
          <w:szCs w:val="24"/>
        </w:rPr>
        <w:t xml:space="preserve"> </w:t>
      </w:r>
      <w:r w:rsidR="00BC6D81">
        <w:rPr>
          <w:rFonts w:ascii="Arial" w:hAnsi="Arial" w:cs="Arial"/>
          <w:sz w:val="24"/>
          <w:szCs w:val="24"/>
        </w:rPr>
        <w:t>Indudablemente, Tylor es un autor que condensa</w:t>
      </w:r>
      <w:r>
        <w:rPr>
          <w:rFonts w:ascii="Arial" w:hAnsi="Arial" w:cs="Arial"/>
          <w:sz w:val="24"/>
          <w:szCs w:val="24"/>
        </w:rPr>
        <w:t xml:space="preserve"> las inquietudes intelectuales de la Inglaterra de mediados del siglo XIX</w:t>
      </w:r>
      <w:r w:rsidR="003D5AFC">
        <w:rPr>
          <w:rFonts w:ascii="Arial" w:hAnsi="Arial" w:cs="Arial"/>
          <w:sz w:val="24"/>
          <w:szCs w:val="24"/>
        </w:rPr>
        <w:t>.</w:t>
      </w:r>
    </w:p>
    <w:p w14:paraId="42DEF55A" w14:textId="77777777" w:rsidR="000E2B52" w:rsidRDefault="000E2B52" w:rsidP="000E2B52">
      <w:pPr>
        <w:pStyle w:val="Prrafodelista"/>
        <w:spacing w:after="0" w:line="360" w:lineRule="auto"/>
        <w:ind w:left="0" w:firstLine="708"/>
        <w:jc w:val="both"/>
        <w:rPr>
          <w:rFonts w:ascii="Arial" w:hAnsi="Arial" w:cs="Arial"/>
          <w:sz w:val="24"/>
          <w:szCs w:val="24"/>
        </w:rPr>
      </w:pPr>
    </w:p>
    <w:p w14:paraId="7E774A7E" w14:textId="77777777" w:rsidR="000E2B52" w:rsidRDefault="000E2B52" w:rsidP="000E2B52">
      <w:pPr>
        <w:spacing w:after="0" w:line="360" w:lineRule="auto"/>
        <w:jc w:val="both"/>
        <w:rPr>
          <w:rFonts w:ascii="Arial" w:hAnsi="Arial" w:cs="Arial"/>
          <w:sz w:val="24"/>
          <w:szCs w:val="24"/>
        </w:rPr>
      </w:pPr>
      <w:r>
        <w:rPr>
          <w:rFonts w:ascii="Arial" w:hAnsi="Arial" w:cs="Arial"/>
          <w:sz w:val="24"/>
          <w:szCs w:val="24"/>
        </w:rPr>
        <w:t xml:space="preserve"> </w:t>
      </w:r>
      <w:r w:rsidRPr="00623D5B">
        <w:rPr>
          <w:rFonts w:ascii="Arial" w:hAnsi="Arial" w:cs="Arial"/>
          <w:sz w:val="24"/>
          <w:szCs w:val="24"/>
          <w:highlight w:val="cyan"/>
        </w:rPr>
        <w:t>c) Principales influencias intelectuales</w:t>
      </w:r>
    </w:p>
    <w:p w14:paraId="4171CAF2"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Nos interesa ver el modo en que Tylor estuvo influenciado por corrientes intelectuales, tanto heredadas del siglo XVIII como de su propio tiempo, y la forma en que las expresó.</w:t>
      </w:r>
    </w:p>
    <w:p w14:paraId="45837377" w14:textId="2503EDE4" w:rsidR="000E2B52" w:rsidRDefault="008277D3"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Elvin Hatch (1975) pone de relieve que g</w:t>
      </w:r>
      <w:r w:rsidR="000E2B52">
        <w:rPr>
          <w:rFonts w:ascii="Arial" w:hAnsi="Arial" w:cs="Arial"/>
          <w:sz w:val="24"/>
          <w:szCs w:val="24"/>
        </w:rPr>
        <w:t>ran parte del pensamiento evolucionista de Tylor, ex</w:t>
      </w:r>
      <w:r>
        <w:rPr>
          <w:rFonts w:ascii="Arial" w:hAnsi="Arial" w:cs="Arial"/>
          <w:sz w:val="24"/>
          <w:szCs w:val="24"/>
        </w:rPr>
        <w:t>hibe</w:t>
      </w:r>
      <w:r w:rsidR="000E2B52">
        <w:rPr>
          <w:rFonts w:ascii="Arial" w:hAnsi="Arial" w:cs="Arial"/>
          <w:sz w:val="24"/>
          <w:szCs w:val="24"/>
        </w:rPr>
        <w:t xml:space="preserve"> la herencia del </w:t>
      </w:r>
      <w:r w:rsidR="000E2B52" w:rsidRPr="00AD1488">
        <w:rPr>
          <w:rFonts w:ascii="Arial" w:hAnsi="Arial" w:cs="Arial"/>
          <w:b/>
          <w:bCs/>
          <w:sz w:val="24"/>
          <w:szCs w:val="24"/>
        </w:rPr>
        <w:t>enfoque intelectualista del comportamiento humano</w:t>
      </w:r>
      <w:r w:rsidR="000E2B52">
        <w:rPr>
          <w:rFonts w:ascii="Arial" w:hAnsi="Arial" w:cs="Arial"/>
          <w:sz w:val="24"/>
          <w:szCs w:val="24"/>
        </w:rPr>
        <w:t xml:space="preserve"> desarrollado en el siglo XVIII.</w:t>
      </w:r>
    </w:p>
    <w:p w14:paraId="5EF175FE" w14:textId="77777777" w:rsidR="000E2B52" w:rsidRDefault="000E2B52" w:rsidP="000E2B52">
      <w:pPr>
        <w:pStyle w:val="Prrafodelista"/>
        <w:spacing w:after="0" w:line="360" w:lineRule="auto"/>
        <w:ind w:left="0" w:firstLine="708"/>
        <w:jc w:val="both"/>
        <w:rPr>
          <w:rFonts w:ascii="Arial" w:hAnsi="Arial" w:cs="Arial"/>
          <w:sz w:val="24"/>
          <w:szCs w:val="24"/>
        </w:rPr>
      </w:pPr>
    </w:p>
    <w:p w14:paraId="70488256" w14:textId="77777777" w:rsidR="000E2B52" w:rsidRDefault="000E2B52" w:rsidP="000E2B52">
      <w:pPr>
        <w:pStyle w:val="Prrafodelista"/>
        <w:shd w:val="clear" w:color="auto" w:fill="E2EFD9" w:themeFill="accent6" w:themeFillTint="33"/>
        <w:spacing w:after="0" w:line="360" w:lineRule="auto"/>
        <w:ind w:left="708" w:firstLine="708"/>
        <w:jc w:val="both"/>
        <w:rPr>
          <w:rFonts w:ascii="Arial" w:hAnsi="Arial" w:cs="Arial"/>
          <w:sz w:val="24"/>
          <w:szCs w:val="24"/>
        </w:rPr>
      </w:pPr>
      <w:r>
        <w:rPr>
          <w:rFonts w:ascii="Arial" w:hAnsi="Arial" w:cs="Arial"/>
          <w:sz w:val="24"/>
          <w:szCs w:val="24"/>
        </w:rPr>
        <w:t>“El elemento fundamental del enfoque intelectualista de los asuntos humanos es el supuesto de que el protagonista social rige su conducta ajustándose a principios racionales. En otras palabras, supone que si queremos comprender los actos de una persona debemos considerarlos como productos de su propio pensamiento racional. Asimismo, de acuerdo con este criterio, la sociedad y las instituciones sociales son creaciones conscientes y racionales y se las realiza porque es razonable hacerlo.” (Hatch, 1975::20).</w:t>
      </w:r>
    </w:p>
    <w:p w14:paraId="7AAC49BF"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lastRenderedPageBreak/>
        <w:t>Recuérdense en este sentido las tesis contractualistas que planteaban que la gente accedía voluntaria y racionalmente a establecer un contrato social, a partir de comprender que mientras viviese fuera de la sociedad civil debería afrontar cierto nivel de incertidumbre e injusticia.</w:t>
      </w:r>
    </w:p>
    <w:p w14:paraId="3E961A06" w14:textId="0DBABD5C"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De acuerdo con el enfoque intelectualista, las instituciones arraigan en la razón. Más, en tanto resulta obvio que no todos los actos, ni todas las instituciones están regidos por la razón, se argumenta que esto e</w:t>
      </w:r>
      <w:r w:rsidR="00BC6D81">
        <w:rPr>
          <w:rFonts w:ascii="Arial" w:hAnsi="Arial" w:cs="Arial"/>
          <w:sz w:val="24"/>
          <w:szCs w:val="24"/>
        </w:rPr>
        <w:t>s</w:t>
      </w:r>
      <w:r>
        <w:rPr>
          <w:rFonts w:ascii="Arial" w:hAnsi="Arial" w:cs="Arial"/>
          <w:sz w:val="24"/>
          <w:szCs w:val="24"/>
        </w:rPr>
        <w:t xml:space="preserve"> resultado de la ignorancia y el error.  Pero una vez que los miembros de una sociedad percib</w:t>
      </w:r>
      <w:r w:rsidR="00BC6D81">
        <w:rPr>
          <w:rFonts w:ascii="Arial" w:hAnsi="Arial" w:cs="Arial"/>
          <w:sz w:val="24"/>
          <w:szCs w:val="24"/>
        </w:rPr>
        <w:t>e</w:t>
      </w:r>
      <w:r>
        <w:rPr>
          <w:rFonts w:ascii="Arial" w:hAnsi="Arial" w:cs="Arial"/>
          <w:sz w:val="24"/>
          <w:szCs w:val="24"/>
        </w:rPr>
        <w:t>n claramente su falacia, desecha</w:t>
      </w:r>
      <w:r w:rsidR="00BC6D81">
        <w:rPr>
          <w:rFonts w:ascii="Arial" w:hAnsi="Arial" w:cs="Arial"/>
          <w:sz w:val="24"/>
          <w:szCs w:val="24"/>
        </w:rPr>
        <w:t>n</w:t>
      </w:r>
      <w:r>
        <w:rPr>
          <w:rFonts w:ascii="Arial" w:hAnsi="Arial" w:cs="Arial"/>
          <w:sz w:val="24"/>
          <w:szCs w:val="24"/>
        </w:rPr>
        <w:t xml:space="preserve"> tales prácticas e instituciones irracionales.</w:t>
      </w:r>
    </w:p>
    <w:p w14:paraId="1F7138EA" w14:textId="2F76C2AE" w:rsidR="000E2B52" w:rsidRDefault="000E2B52" w:rsidP="000E2B52">
      <w:pPr>
        <w:pStyle w:val="Prrafodelista"/>
        <w:spacing w:after="0" w:line="360" w:lineRule="auto"/>
        <w:ind w:left="0" w:firstLine="708"/>
        <w:jc w:val="both"/>
        <w:rPr>
          <w:rFonts w:ascii="Arial" w:hAnsi="Arial" w:cs="Arial"/>
          <w:sz w:val="24"/>
          <w:szCs w:val="24"/>
          <w:u w:val="single"/>
        </w:rPr>
      </w:pPr>
      <w:r>
        <w:rPr>
          <w:rFonts w:ascii="Arial" w:hAnsi="Arial" w:cs="Arial"/>
          <w:sz w:val="24"/>
          <w:szCs w:val="24"/>
        </w:rPr>
        <w:t>Esta perspectiva ocupa un lugar destacado en la obra de Tylor. Para él las instituciones humanas son creaciones intencionales y útiles, concebidas de acuerdo con principios racionales de pensamiento. En ocasiones, la experiencia y la razón, traicionan al ser humano, y</w:t>
      </w:r>
      <w:r w:rsidR="00BC6D81">
        <w:rPr>
          <w:rFonts w:ascii="Arial" w:hAnsi="Arial" w:cs="Arial"/>
          <w:sz w:val="24"/>
          <w:szCs w:val="24"/>
        </w:rPr>
        <w:t xml:space="preserve"> {este llega a</w:t>
      </w:r>
      <w:r>
        <w:rPr>
          <w:rFonts w:ascii="Arial" w:hAnsi="Arial" w:cs="Arial"/>
          <w:sz w:val="24"/>
          <w:szCs w:val="24"/>
        </w:rPr>
        <w:t xml:space="preserve"> desarrolla</w:t>
      </w:r>
      <w:r w:rsidR="00BC6D81">
        <w:rPr>
          <w:rFonts w:ascii="Arial" w:hAnsi="Arial" w:cs="Arial"/>
          <w:sz w:val="24"/>
          <w:szCs w:val="24"/>
        </w:rPr>
        <w:t>r</w:t>
      </w:r>
      <w:r>
        <w:rPr>
          <w:rFonts w:ascii="Arial" w:hAnsi="Arial" w:cs="Arial"/>
          <w:sz w:val="24"/>
          <w:szCs w:val="24"/>
        </w:rPr>
        <w:t xml:space="preserve"> prácticas y creencias “defectuosas”. Éstas, a veces, adquieren una autoridad y un respeto propio, y tienden a mantenerse vigentes: se convierten en </w:t>
      </w:r>
      <w:r w:rsidRPr="00F75967">
        <w:rPr>
          <w:rFonts w:ascii="Arial" w:hAnsi="Arial" w:cs="Arial"/>
          <w:sz w:val="24"/>
          <w:szCs w:val="24"/>
          <w:u w:val="single"/>
        </w:rPr>
        <w:t>tradiciones.</w:t>
      </w:r>
    </w:p>
    <w:p w14:paraId="55A12F97" w14:textId="77777777" w:rsidR="000E2B52" w:rsidRDefault="000E2B52" w:rsidP="000E2B52">
      <w:pPr>
        <w:pStyle w:val="Prrafodelista"/>
        <w:spacing w:after="0" w:line="360" w:lineRule="auto"/>
        <w:ind w:left="0" w:firstLine="708"/>
        <w:jc w:val="both"/>
        <w:rPr>
          <w:rFonts w:ascii="Arial" w:hAnsi="Arial" w:cs="Arial"/>
          <w:sz w:val="24"/>
          <w:szCs w:val="24"/>
        </w:rPr>
      </w:pPr>
      <w:r w:rsidRPr="00F75967">
        <w:rPr>
          <w:rFonts w:ascii="Arial" w:hAnsi="Arial" w:cs="Arial"/>
          <w:sz w:val="24"/>
          <w:szCs w:val="24"/>
        </w:rPr>
        <w:t xml:space="preserve">En opinión de Tylor, las tradiciones tienen un carácter mórbido. </w:t>
      </w:r>
      <w:r>
        <w:rPr>
          <w:rFonts w:ascii="Arial" w:hAnsi="Arial" w:cs="Arial"/>
          <w:sz w:val="24"/>
          <w:szCs w:val="24"/>
        </w:rPr>
        <w:t>Representan la antítesis de la razón y el progreso. En especial, la mente de los individuos de las primeras etapas de desarrollo está muy limitada por las cadenas conservadoras de la tradición.</w:t>
      </w:r>
    </w:p>
    <w:p w14:paraId="23AB91BE" w14:textId="5D3FC449" w:rsidR="000E2B52" w:rsidRDefault="000E2B52" w:rsidP="000E2B52">
      <w:pPr>
        <w:pStyle w:val="Prrafodelista"/>
        <w:shd w:val="clear" w:color="auto" w:fill="E2EFD9" w:themeFill="accent6" w:themeFillTint="33"/>
        <w:spacing w:after="0" w:line="360" w:lineRule="auto"/>
        <w:ind w:left="708" w:firstLine="708"/>
        <w:jc w:val="both"/>
        <w:rPr>
          <w:rFonts w:ascii="Arial" w:hAnsi="Arial" w:cs="Arial"/>
          <w:sz w:val="24"/>
          <w:szCs w:val="24"/>
        </w:rPr>
      </w:pPr>
      <w:r>
        <w:rPr>
          <w:rFonts w:ascii="Arial" w:hAnsi="Arial" w:cs="Arial"/>
          <w:sz w:val="24"/>
          <w:szCs w:val="24"/>
        </w:rPr>
        <w:t>“la tiranía de la tradición les impone a cada paso pensamientos y costumbres heredados de una etapa cultural diferente, y que</w:t>
      </w:r>
      <w:r w:rsidR="00E96AB8">
        <w:rPr>
          <w:rFonts w:ascii="Arial" w:hAnsi="Arial" w:cs="Arial"/>
          <w:sz w:val="24"/>
          <w:szCs w:val="24"/>
        </w:rPr>
        <w:t>,</w:t>
      </w:r>
      <w:r>
        <w:rPr>
          <w:rFonts w:ascii="Arial" w:hAnsi="Arial" w:cs="Arial"/>
          <w:sz w:val="24"/>
          <w:szCs w:val="24"/>
        </w:rPr>
        <w:t xml:space="preserve"> por lo tanto, han perdido la razonabilidad que es visible poseían inicialmente” (Tylor, 1866, citado en Hatch, 1975: 25)</w:t>
      </w:r>
    </w:p>
    <w:p w14:paraId="0802F05B" w14:textId="77777777" w:rsidR="000E2B52" w:rsidRDefault="000E2B52" w:rsidP="000E2B52">
      <w:pPr>
        <w:pStyle w:val="Prrafodelista"/>
        <w:spacing w:after="0" w:line="360" w:lineRule="auto"/>
        <w:ind w:left="0" w:firstLine="708"/>
        <w:jc w:val="both"/>
        <w:rPr>
          <w:rFonts w:ascii="Arial" w:hAnsi="Arial" w:cs="Arial"/>
          <w:sz w:val="24"/>
          <w:szCs w:val="24"/>
        </w:rPr>
      </w:pPr>
    </w:p>
    <w:p w14:paraId="73CB8DBA"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Tres parecen ser las fuentes del conservadorismo tradicional en opinión de Tylor: a) el consenso de la opinión pública, b) las autoridades eclesiásticas, cuando sacralizan creencias y prácticas y c) el respeto por los antepasados. En todos estos casos, lo que prevalece es la “irreflexión”, la adhesión a prácticas, creencias e instituciones sin reflexión consciente.</w:t>
      </w:r>
    </w:p>
    <w:p w14:paraId="6308FB06"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Pero el pensamiento racional es obstinado, y más tarde o más temprano prevalecerá, y el progreso se abrirá paso, aunque de un modo lento y dificultoso en las primeras etapas. A la larga la razón prevalece sobre el error:</w:t>
      </w:r>
    </w:p>
    <w:p w14:paraId="6A930917" w14:textId="77777777" w:rsidR="000E2B52" w:rsidRDefault="000E2B52" w:rsidP="000E2B52">
      <w:pPr>
        <w:pStyle w:val="Prrafodelista"/>
        <w:spacing w:after="0" w:line="360" w:lineRule="auto"/>
        <w:ind w:left="0" w:firstLine="708"/>
        <w:jc w:val="both"/>
        <w:rPr>
          <w:rFonts w:ascii="Arial" w:hAnsi="Arial" w:cs="Arial"/>
          <w:sz w:val="24"/>
          <w:szCs w:val="24"/>
        </w:rPr>
      </w:pPr>
    </w:p>
    <w:p w14:paraId="25D0B77C" w14:textId="77777777" w:rsidR="000E2B52" w:rsidRDefault="000E2B52" w:rsidP="000E2B52">
      <w:pPr>
        <w:pStyle w:val="Prrafodelista"/>
        <w:shd w:val="clear" w:color="auto" w:fill="E2EFD9" w:themeFill="accent6" w:themeFillTint="33"/>
        <w:spacing w:after="0" w:line="360" w:lineRule="auto"/>
        <w:ind w:left="708" w:firstLine="708"/>
        <w:jc w:val="both"/>
        <w:rPr>
          <w:rFonts w:ascii="Arial" w:hAnsi="Arial" w:cs="Arial"/>
          <w:sz w:val="24"/>
          <w:szCs w:val="24"/>
        </w:rPr>
      </w:pPr>
      <w:r>
        <w:rPr>
          <w:rFonts w:ascii="Arial" w:hAnsi="Arial" w:cs="Arial"/>
          <w:sz w:val="24"/>
          <w:szCs w:val="24"/>
        </w:rPr>
        <w:t>“Por superficiales e ilógicos que puedan ser los primeros razonamientos del hombre, por lento que sea su perfeccionamiento al influjo de la experiencia, es una ley del progreso humano que el pensamiento tiende a afirmar su propia esencia.” (Tylor, 1881, citado en Hatch, 1975:  29).</w:t>
      </w:r>
    </w:p>
    <w:p w14:paraId="531BDAC0"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 </w:t>
      </w:r>
    </w:p>
    <w:p w14:paraId="6EA3D542"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En algunos pasajes, esa ley del progreso parece fundarse en el principio de selección natural.</w:t>
      </w:r>
    </w:p>
    <w:p w14:paraId="1E393931" w14:textId="77777777" w:rsidR="000E2B52" w:rsidRDefault="000E2B52" w:rsidP="000E2B52">
      <w:pPr>
        <w:pStyle w:val="Prrafodelista"/>
        <w:spacing w:after="0" w:line="360" w:lineRule="auto"/>
        <w:ind w:left="0" w:firstLine="708"/>
        <w:jc w:val="both"/>
        <w:rPr>
          <w:rFonts w:ascii="Arial" w:hAnsi="Arial" w:cs="Arial"/>
          <w:sz w:val="24"/>
          <w:szCs w:val="24"/>
        </w:rPr>
      </w:pPr>
    </w:p>
    <w:p w14:paraId="1453DC27" w14:textId="77777777" w:rsidR="000E2B52" w:rsidRDefault="000E2B52" w:rsidP="000E2B52">
      <w:pPr>
        <w:pStyle w:val="Prrafodelista"/>
        <w:shd w:val="clear" w:color="auto" w:fill="E2EFD9" w:themeFill="accent6" w:themeFillTint="33"/>
        <w:spacing w:after="0" w:line="360" w:lineRule="auto"/>
        <w:ind w:left="708" w:firstLine="708"/>
        <w:jc w:val="both"/>
        <w:rPr>
          <w:rFonts w:ascii="Arial" w:hAnsi="Arial" w:cs="Arial"/>
          <w:sz w:val="24"/>
          <w:szCs w:val="24"/>
        </w:rPr>
      </w:pPr>
      <w:r>
        <w:rPr>
          <w:rFonts w:ascii="Arial" w:hAnsi="Arial" w:cs="Arial"/>
          <w:sz w:val="24"/>
          <w:szCs w:val="24"/>
        </w:rPr>
        <w:t>“en el curso de los tiempos se ha desarrollado un lento proceso de selección natural, que tiende constantemente a desechar lo inválido y a promover lo que es sólido y válido” (Tylor, 1867, citado en Hatch, 1975:29)</w:t>
      </w:r>
    </w:p>
    <w:p w14:paraId="7031855A" w14:textId="77777777" w:rsidR="000E2B52" w:rsidRDefault="000E2B52" w:rsidP="000E2B52">
      <w:pPr>
        <w:pStyle w:val="Prrafodelista"/>
        <w:spacing w:after="0" w:line="360" w:lineRule="auto"/>
        <w:ind w:left="0" w:firstLine="708"/>
        <w:jc w:val="both"/>
        <w:rPr>
          <w:rFonts w:ascii="Arial" w:hAnsi="Arial" w:cs="Arial"/>
          <w:sz w:val="24"/>
          <w:szCs w:val="24"/>
        </w:rPr>
      </w:pPr>
    </w:p>
    <w:p w14:paraId="36D5CEF3" w14:textId="39152109"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La atención de Tylor estuvo concentrada en el proceso de crecimiento de la cultura más que en las cadenas de la tradición. El interés fundamental de </w:t>
      </w:r>
      <w:r w:rsidR="003508D7">
        <w:rPr>
          <w:rFonts w:ascii="Arial" w:hAnsi="Arial" w:cs="Arial"/>
          <w:sz w:val="24"/>
          <w:szCs w:val="24"/>
        </w:rPr>
        <w:t>este autor</w:t>
      </w:r>
      <w:r>
        <w:rPr>
          <w:rFonts w:ascii="Arial" w:hAnsi="Arial" w:cs="Arial"/>
          <w:sz w:val="24"/>
          <w:szCs w:val="24"/>
        </w:rPr>
        <w:t xml:space="preserve"> era el pensamiento racional Le interesaba más el progreso que los obstáculos que se le oponían. (Hatch, 1975: 27).</w:t>
      </w:r>
    </w:p>
    <w:p w14:paraId="4371007E"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Así consideró que todas las sociedades, aún las más “salvajes” respondían a una racionalidad. Reconoce plenamente la racionalidad de las prácticas y las creencias de las sociedades “primitivas”.</w:t>
      </w:r>
      <w:r w:rsidRPr="00A85B8E">
        <w:rPr>
          <w:rFonts w:ascii="Arial" w:hAnsi="Arial" w:cs="Arial"/>
          <w:sz w:val="24"/>
          <w:szCs w:val="24"/>
        </w:rPr>
        <w:t xml:space="preserve"> </w:t>
      </w:r>
      <w:r>
        <w:rPr>
          <w:rFonts w:ascii="Arial" w:hAnsi="Arial" w:cs="Arial"/>
          <w:sz w:val="24"/>
          <w:szCs w:val="24"/>
        </w:rPr>
        <w:t xml:space="preserve">Ahora bien, los principios racionales que están en la base de toda institución y creencia “salvaje” corresponden a “una condición mental de intensa e inveterada ignorancia”, que los conduce al error. Pero debe subrayarse que, </w:t>
      </w:r>
      <w:r w:rsidRPr="008277D3">
        <w:rPr>
          <w:rFonts w:ascii="Arial" w:hAnsi="Arial" w:cs="Arial"/>
          <w:b/>
          <w:bCs/>
          <w:sz w:val="24"/>
          <w:szCs w:val="24"/>
        </w:rPr>
        <w:t>para Tylor, es posible hacer inteligibles las prácticas y creencias del “salvaje”, ya que, aunque parezcan irracionales e insensatas, no lo son; subyace en ellas un pensamiento racional</w:t>
      </w:r>
      <w:r>
        <w:rPr>
          <w:rFonts w:ascii="Arial" w:hAnsi="Arial" w:cs="Arial"/>
          <w:sz w:val="24"/>
          <w:szCs w:val="24"/>
        </w:rPr>
        <w:t>, propio de mentes “ineducadas”, “toscas” o “incultas”.</w:t>
      </w:r>
    </w:p>
    <w:p w14:paraId="612CAECC" w14:textId="77777777" w:rsidR="000E2B52" w:rsidRDefault="000E2B52" w:rsidP="000E2B52">
      <w:pPr>
        <w:pStyle w:val="Prrafodelista"/>
        <w:spacing w:after="0" w:line="360" w:lineRule="auto"/>
        <w:ind w:left="0" w:firstLine="708"/>
        <w:jc w:val="both"/>
        <w:rPr>
          <w:rFonts w:ascii="Arial" w:hAnsi="Arial" w:cs="Arial"/>
          <w:sz w:val="24"/>
          <w:szCs w:val="24"/>
        </w:rPr>
      </w:pPr>
    </w:p>
    <w:p w14:paraId="0A3ABDD3" w14:textId="75B85981" w:rsidR="000E2B52" w:rsidRDefault="000E2B52" w:rsidP="000E2B52">
      <w:pPr>
        <w:pStyle w:val="Prrafodelista"/>
        <w:shd w:val="clear" w:color="auto" w:fill="E2EFD9" w:themeFill="accent6" w:themeFillTint="33"/>
        <w:spacing w:after="0" w:line="360" w:lineRule="auto"/>
        <w:ind w:left="708" w:firstLine="708"/>
        <w:jc w:val="both"/>
        <w:rPr>
          <w:rFonts w:ascii="Arial" w:hAnsi="Arial" w:cs="Arial"/>
          <w:sz w:val="24"/>
          <w:szCs w:val="24"/>
        </w:rPr>
      </w:pPr>
      <w:r>
        <w:rPr>
          <w:rFonts w:ascii="Arial" w:hAnsi="Arial" w:cs="Arial"/>
          <w:sz w:val="24"/>
          <w:szCs w:val="24"/>
        </w:rPr>
        <w:t xml:space="preserve">“A mi juicio, en el estudio de la historia primitiva de nuestra raza, debe sostenerse firmemente el principio de que necesitamos buscar siempre motivos prácticos e inteligibles que expliquen los hábitos y las opiniones que hallamos en el mundo… La afirmación misma de que los actos (de los salvajes) carecen de motivo, y de que sus opiniones son </w:t>
      </w:r>
      <w:r>
        <w:rPr>
          <w:rFonts w:ascii="Arial" w:hAnsi="Arial" w:cs="Arial"/>
          <w:sz w:val="24"/>
          <w:szCs w:val="24"/>
        </w:rPr>
        <w:lastRenderedPageBreak/>
        <w:t>insensatas, es en mi opinión una teoría, y a mi juicio profundamente fals</w:t>
      </w:r>
      <w:r w:rsidR="00A105BB">
        <w:rPr>
          <w:rFonts w:ascii="Arial" w:hAnsi="Arial" w:cs="Arial"/>
          <w:sz w:val="24"/>
          <w:szCs w:val="24"/>
        </w:rPr>
        <w:t>a</w:t>
      </w:r>
      <w:r>
        <w:rPr>
          <w:rFonts w:ascii="Arial" w:hAnsi="Arial" w:cs="Arial"/>
          <w:sz w:val="24"/>
          <w:szCs w:val="24"/>
        </w:rPr>
        <w:t>…” (Tylor, 1866, citado en Hatch, 1975: 24).</w:t>
      </w:r>
    </w:p>
    <w:p w14:paraId="0A9108D8" w14:textId="77777777" w:rsidR="000E2B52" w:rsidRDefault="000E2B52" w:rsidP="000E2B52">
      <w:pPr>
        <w:pStyle w:val="Prrafodelista"/>
        <w:spacing w:after="0" w:line="360" w:lineRule="auto"/>
        <w:ind w:left="0" w:firstLine="708"/>
        <w:jc w:val="both"/>
        <w:rPr>
          <w:rFonts w:ascii="Arial" w:hAnsi="Arial" w:cs="Arial"/>
          <w:sz w:val="24"/>
          <w:szCs w:val="24"/>
        </w:rPr>
      </w:pPr>
    </w:p>
    <w:p w14:paraId="790CFAFE"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Vemos que Tylor asignó un carácter intencional a la conducta y a las instituciones, lo que implica un concepto utilitario de la cultura. “Las instituciones se crean conscientemente para servir a fines prácticos, y por lo tanto su utilidad o servicio es uno de los rasgos principales” (Hatch, 1975: 24).</w:t>
      </w:r>
    </w:p>
    <w:p w14:paraId="0205C8C8" w14:textId="77777777" w:rsidR="000E2B52"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Se advierte la influencia del </w:t>
      </w:r>
      <w:r w:rsidRPr="00E02373">
        <w:rPr>
          <w:rFonts w:ascii="Arial" w:hAnsi="Arial" w:cs="Arial"/>
          <w:b/>
          <w:bCs/>
          <w:sz w:val="24"/>
          <w:szCs w:val="24"/>
        </w:rPr>
        <w:t xml:space="preserve">utilitarismo </w:t>
      </w:r>
      <w:r>
        <w:rPr>
          <w:rFonts w:ascii="Arial" w:hAnsi="Arial" w:cs="Arial"/>
          <w:sz w:val="24"/>
          <w:szCs w:val="24"/>
        </w:rPr>
        <w:t>(cuyos principales exponentes son Bentham y Stuart Mill), que se inscribe en la tradición del liberalismo económico. En Tylor se observa que el criterio para determinar si una costumbre o institución es racional, es su utilidad.</w:t>
      </w:r>
    </w:p>
    <w:p w14:paraId="32F4405A" w14:textId="77777777" w:rsidR="000E2B52" w:rsidRPr="00F75967" w:rsidRDefault="000E2B52" w:rsidP="000E2B5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Por otra parte, el </w:t>
      </w:r>
      <w:r w:rsidRPr="006D4B3A">
        <w:rPr>
          <w:rFonts w:ascii="Arial" w:hAnsi="Arial" w:cs="Arial"/>
          <w:b/>
          <w:bCs/>
          <w:sz w:val="24"/>
          <w:szCs w:val="24"/>
        </w:rPr>
        <w:t>positivismo</w:t>
      </w:r>
      <w:r>
        <w:rPr>
          <w:rFonts w:ascii="Arial" w:hAnsi="Arial" w:cs="Arial"/>
          <w:sz w:val="24"/>
          <w:szCs w:val="24"/>
        </w:rPr>
        <w:t xml:space="preserve"> fue otro principio que contribuyó a formar el pensamiento de Tylor y de todos los evolucionistas en la segunda mitad del siglo XIX. Un elemento importante de esta concepción, es que el mundo se desenvuelve de acuerdo con leyes naturales, tanto en la sociedad y las instituciones sociales, como en las moléculas y los organismos vivos. Por consiguiente, la explicación formulada en ciencias sociales es esencialmente idéntica a la explicación de las ciencias naturales. El positivismo supone que las instituciones y el comportamiento humano responden a leyes naturales, lo cual implica cierta forma de determinismo de la conducta. (Hatch, 1975:  21).</w:t>
      </w:r>
    </w:p>
    <w:p w14:paraId="5F55902B" w14:textId="14C2C4F2" w:rsidR="000E2B52" w:rsidRDefault="000E2B52" w:rsidP="000E2B52">
      <w:pPr>
        <w:pStyle w:val="Prrafodelista"/>
        <w:spacing w:after="0" w:line="360" w:lineRule="auto"/>
        <w:ind w:left="0" w:firstLine="708"/>
        <w:jc w:val="both"/>
        <w:rPr>
          <w:rFonts w:ascii="Arial" w:hAnsi="Arial" w:cs="Arial"/>
          <w:sz w:val="24"/>
          <w:szCs w:val="24"/>
        </w:rPr>
      </w:pPr>
    </w:p>
    <w:p w14:paraId="0F0A3163" w14:textId="77777777" w:rsidR="000E2B52" w:rsidRDefault="000E2B52" w:rsidP="000E2B52">
      <w:pPr>
        <w:pStyle w:val="Prrafodelista"/>
        <w:spacing w:after="0" w:line="360" w:lineRule="auto"/>
        <w:ind w:left="0" w:firstLine="708"/>
        <w:jc w:val="both"/>
        <w:rPr>
          <w:rFonts w:ascii="Arial" w:hAnsi="Arial" w:cs="Arial"/>
          <w:sz w:val="24"/>
          <w:szCs w:val="24"/>
        </w:rPr>
      </w:pPr>
    </w:p>
    <w:p w14:paraId="0B1B2F64" w14:textId="081130E3" w:rsidR="008F4E1F" w:rsidRPr="00DB6BA7" w:rsidRDefault="00D82230" w:rsidP="008F4E1F">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Algunos ejes conceptuales del pensamiento de Tylor</w:t>
      </w:r>
    </w:p>
    <w:p w14:paraId="2CF5B492" w14:textId="76CC1F45" w:rsidR="008F4E1F" w:rsidRDefault="008F4E1F" w:rsidP="008F4E1F">
      <w:pPr>
        <w:rPr>
          <w:rFonts w:ascii="Arial" w:hAnsi="Arial" w:cs="Arial"/>
          <w:b/>
          <w:bCs/>
          <w:sz w:val="24"/>
          <w:szCs w:val="24"/>
        </w:rPr>
      </w:pPr>
    </w:p>
    <w:p w14:paraId="0FD8A031" w14:textId="6C75C8F2" w:rsidR="00004359" w:rsidRPr="00004359" w:rsidRDefault="00E51AF7" w:rsidP="00004359">
      <w:pPr>
        <w:spacing w:after="0" w:line="360" w:lineRule="auto"/>
        <w:jc w:val="both"/>
        <w:rPr>
          <w:rFonts w:ascii="Arial" w:hAnsi="Arial" w:cs="Arial"/>
          <w:sz w:val="24"/>
          <w:szCs w:val="24"/>
        </w:rPr>
      </w:pPr>
      <w:r>
        <w:rPr>
          <w:rFonts w:ascii="Arial" w:hAnsi="Arial" w:cs="Arial"/>
          <w:sz w:val="24"/>
          <w:szCs w:val="24"/>
        </w:rPr>
        <w:tab/>
      </w:r>
      <w:r w:rsidR="000E004A">
        <w:rPr>
          <w:rFonts w:ascii="Arial" w:hAnsi="Arial" w:cs="Arial"/>
          <w:sz w:val="24"/>
          <w:szCs w:val="24"/>
        </w:rPr>
        <w:t xml:space="preserve">Tylor aportó a la Antropología la primera definición del término “cultura”. </w:t>
      </w:r>
      <w:r w:rsidR="00004359" w:rsidRPr="00004359">
        <w:rPr>
          <w:rFonts w:ascii="Arial" w:hAnsi="Arial" w:cs="Arial"/>
          <w:sz w:val="24"/>
          <w:szCs w:val="24"/>
        </w:rPr>
        <w:t>E</w:t>
      </w:r>
      <w:r w:rsidR="000E004A">
        <w:rPr>
          <w:rFonts w:ascii="Arial" w:hAnsi="Arial" w:cs="Arial"/>
          <w:sz w:val="24"/>
          <w:szCs w:val="24"/>
        </w:rPr>
        <w:t>ste</w:t>
      </w:r>
      <w:r w:rsidR="00004359" w:rsidRPr="00004359">
        <w:rPr>
          <w:rFonts w:ascii="Arial" w:hAnsi="Arial" w:cs="Arial"/>
          <w:sz w:val="24"/>
          <w:szCs w:val="24"/>
        </w:rPr>
        <w:t xml:space="preserve"> concepto presenta algunas características que interesa señalar:</w:t>
      </w:r>
    </w:p>
    <w:p w14:paraId="491A07AB" w14:textId="56B67432" w:rsidR="007A0BBF" w:rsidRDefault="007A0BBF" w:rsidP="00004359">
      <w:pPr>
        <w:spacing w:after="0" w:line="360" w:lineRule="auto"/>
        <w:jc w:val="both"/>
        <w:rPr>
          <w:rFonts w:ascii="Arial" w:hAnsi="Arial" w:cs="Arial"/>
          <w:sz w:val="24"/>
          <w:szCs w:val="24"/>
        </w:rPr>
      </w:pPr>
      <w:r>
        <w:rPr>
          <w:rFonts w:ascii="Arial" w:hAnsi="Arial" w:cs="Arial"/>
          <w:sz w:val="24"/>
          <w:szCs w:val="24"/>
        </w:rPr>
        <w:tab/>
        <w:t>Ante todo, como señala Cuché</w:t>
      </w:r>
      <w:r w:rsidR="008B268C">
        <w:rPr>
          <w:rFonts w:ascii="Arial" w:hAnsi="Arial" w:cs="Arial"/>
          <w:sz w:val="24"/>
          <w:szCs w:val="24"/>
        </w:rPr>
        <w:t xml:space="preserve"> (</w:t>
      </w:r>
      <w:r w:rsidR="00F64B7B">
        <w:rPr>
          <w:rFonts w:ascii="Arial" w:hAnsi="Arial" w:cs="Arial"/>
          <w:sz w:val="24"/>
          <w:szCs w:val="24"/>
        </w:rPr>
        <w:t>2002</w:t>
      </w:r>
      <w:r w:rsidR="008B268C">
        <w:rPr>
          <w:rFonts w:ascii="Arial" w:hAnsi="Arial" w:cs="Arial"/>
          <w:sz w:val="24"/>
          <w:szCs w:val="24"/>
        </w:rPr>
        <w:t>)</w:t>
      </w:r>
      <w:r>
        <w:rPr>
          <w:rFonts w:ascii="Arial" w:hAnsi="Arial" w:cs="Arial"/>
          <w:sz w:val="24"/>
          <w:szCs w:val="24"/>
        </w:rPr>
        <w:t>, la definición</w:t>
      </w:r>
      <w:r w:rsidR="000E004A">
        <w:rPr>
          <w:rFonts w:ascii="Arial" w:hAnsi="Arial" w:cs="Arial"/>
          <w:sz w:val="24"/>
          <w:szCs w:val="24"/>
        </w:rPr>
        <w:t xml:space="preserve"> que Tylor elaboró</w:t>
      </w:r>
      <w:r>
        <w:rPr>
          <w:rFonts w:ascii="Arial" w:hAnsi="Arial" w:cs="Arial"/>
          <w:sz w:val="24"/>
          <w:szCs w:val="24"/>
        </w:rPr>
        <w:t xml:space="preserve"> pretende ser descriptiva, y por lo tanto, aspira a quitarle al concepto toda carga normativa o juicio de valor. Siguiendo a este mismo autor, hay que destacar que, si bien Tylor es el primero que propone una definición conceptual de cultura</w:t>
      </w:r>
      <w:r w:rsidR="004016FE">
        <w:rPr>
          <w:rFonts w:ascii="Arial" w:hAnsi="Arial" w:cs="Arial"/>
          <w:sz w:val="24"/>
          <w:szCs w:val="24"/>
        </w:rPr>
        <w:t>, n</w:t>
      </w:r>
      <w:r w:rsidR="0013494E">
        <w:rPr>
          <w:rFonts w:ascii="Arial" w:hAnsi="Arial" w:cs="Arial"/>
          <w:sz w:val="24"/>
          <w:szCs w:val="24"/>
        </w:rPr>
        <w:t>o</w:t>
      </w:r>
      <w:r w:rsidR="004016FE">
        <w:rPr>
          <w:rFonts w:ascii="Arial" w:hAnsi="Arial" w:cs="Arial"/>
          <w:sz w:val="24"/>
          <w:szCs w:val="24"/>
        </w:rPr>
        <w:t xml:space="preserve"> fue el primero en usar el término en </w:t>
      </w:r>
      <w:r w:rsidR="00F64B7B">
        <w:rPr>
          <w:rFonts w:ascii="Arial" w:hAnsi="Arial" w:cs="Arial"/>
          <w:sz w:val="24"/>
          <w:szCs w:val="24"/>
        </w:rPr>
        <w:t>Antropología</w:t>
      </w:r>
      <w:r w:rsidR="004016FE">
        <w:rPr>
          <w:rFonts w:ascii="Arial" w:hAnsi="Arial" w:cs="Arial"/>
          <w:sz w:val="24"/>
          <w:szCs w:val="24"/>
        </w:rPr>
        <w:t>. De hecho</w:t>
      </w:r>
      <w:r w:rsidR="00F64B7B">
        <w:rPr>
          <w:rFonts w:ascii="Arial" w:hAnsi="Arial" w:cs="Arial"/>
          <w:sz w:val="24"/>
          <w:szCs w:val="24"/>
        </w:rPr>
        <w:t>,</w:t>
      </w:r>
      <w:r w:rsidR="004016FE">
        <w:rPr>
          <w:rFonts w:ascii="Arial" w:hAnsi="Arial" w:cs="Arial"/>
          <w:sz w:val="24"/>
          <w:szCs w:val="24"/>
        </w:rPr>
        <w:t xml:space="preserve"> fue influido por el etnólogo</w:t>
      </w:r>
      <w:r w:rsidR="003B6C54">
        <w:rPr>
          <w:rFonts w:ascii="Arial" w:hAnsi="Arial" w:cs="Arial"/>
          <w:sz w:val="24"/>
          <w:szCs w:val="24"/>
        </w:rPr>
        <w:t xml:space="preserve"> evolucionista</w:t>
      </w:r>
      <w:r w:rsidR="004016FE">
        <w:rPr>
          <w:rFonts w:ascii="Arial" w:hAnsi="Arial" w:cs="Arial"/>
          <w:sz w:val="24"/>
          <w:szCs w:val="24"/>
        </w:rPr>
        <w:t xml:space="preserve"> alemán Gustave Klemm</w:t>
      </w:r>
      <w:r w:rsidR="001F5DE8">
        <w:rPr>
          <w:rFonts w:ascii="Arial" w:hAnsi="Arial" w:cs="Arial"/>
          <w:sz w:val="24"/>
          <w:szCs w:val="24"/>
        </w:rPr>
        <w:t>.</w:t>
      </w:r>
    </w:p>
    <w:p w14:paraId="17DA8B79" w14:textId="7C631898" w:rsidR="00E51AF7" w:rsidRDefault="003B6C54" w:rsidP="00004359">
      <w:pPr>
        <w:spacing w:after="0" w:line="360" w:lineRule="auto"/>
        <w:jc w:val="both"/>
        <w:rPr>
          <w:rFonts w:ascii="Arial" w:hAnsi="Arial" w:cs="Arial"/>
          <w:sz w:val="24"/>
          <w:szCs w:val="24"/>
        </w:rPr>
      </w:pPr>
      <w:r>
        <w:rPr>
          <w:rFonts w:ascii="Arial" w:hAnsi="Arial" w:cs="Arial"/>
          <w:sz w:val="24"/>
          <w:szCs w:val="24"/>
        </w:rPr>
        <w:lastRenderedPageBreak/>
        <w:tab/>
      </w:r>
      <w:r w:rsidR="00004359" w:rsidRPr="00004359">
        <w:rPr>
          <w:rFonts w:ascii="Arial" w:hAnsi="Arial" w:cs="Arial"/>
          <w:sz w:val="24"/>
          <w:szCs w:val="24"/>
        </w:rPr>
        <w:t>Tylor concibe a la cultura como sinónimo o equivalente de civilización. Desde el siglo XVIII,</w:t>
      </w:r>
      <w:r w:rsidR="00004359">
        <w:rPr>
          <w:rFonts w:ascii="Arial" w:hAnsi="Arial" w:cs="Arial"/>
          <w:sz w:val="24"/>
          <w:szCs w:val="24"/>
        </w:rPr>
        <w:t xml:space="preserve"> en Francia e Inglaterra</w:t>
      </w:r>
      <w:r w:rsidR="00004359">
        <w:rPr>
          <w:rStyle w:val="Refdenotaalpie"/>
          <w:rFonts w:ascii="Arial" w:hAnsi="Arial" w:cs="Arial"/>
          <w:sz w:val="24"/>
          <w:szCs w:val="24"/>
        </w:rPr>
        <w:footnoteReference w:id="3"/>
      </w:r>
      <w:r w:rsidR="00004359">
        <w:rPr>
          <w:rFonts w:ascii="Arial" w:hAnsi="Arial" w:cs="Arial"/>
          <w:sz w:val="24"/>
          <w:szCs w:val="24"/>
        </w:rPr>
        <w:t xml:space="preserve">, </w:t>
      </w:r>
      <w:r w:rsidR="00004359" w:rsidRPr="00004359">
        <w:rPr>
          <w:rFonts w:ascii="Arial" w:hAnsi="Arial" w:cs="Arial"/>
          <w:sz w:val="24"/>
          <w:szCs w:val="24"/>
        </w:rPr>
        <w:t xml:space="preserve"> el término “civilización” se venía empleando para oponerlo a la barbarie y el salvajismo, es decir, para referir al grado superior de desarrollo de la sociedad humana</w:t>
      </w:r>
      <w:r w:rsidR="00004359">
        <w:rPr>
          <w:rFonts w:ascii="Arial" w:hAnsi="Arial" w:cs="Arial"/>
          <w:sz w:val="24"/>
          <w:szCs w:val="24"/>
        </w:rPr>
        <w:t>. El término encarna el progreso intelectual, social, material, etc., en términos colectivos. Así, “civilización” va unida a</w:t>
      </w:r>
      <w:r w:rsidR="0013494E">
        <w:rPr>
          <w:rFonts w:ascii="Arial" w:hAnsi="Arial" w:cs="Arial"/>
          <w:sz w:val="24"/>
          <w:szCs w:val="24"/>
        </w:rPr>
        <w:t xml:space="preserve"> una concepción progresiva de la historia</w:t>
      </w:r>
      <w:r w:rsidR="00004359">
        <w:rPr>
          <w:rFonts w:ascii="Arial" w:hAnsi="Arial" w:cs="Arial"/>
          <w:sz w:val="24"/>
          <w:szCs w:val="24"/>
        </w:rPr>
        <w:t>. Luego, “cultura</w:t>
      </w:r>
      <w:r w:rsidR="0013494E">
        <w:rPr>
          <w:rFonts w:ascii="Arial" w:hAnsi="Arial" w:cs="Arial"/>
          <w:sz w:val="24"/>
          <w:szCs w:val="24"/>
        </w:rPr>
        <w:t>”, que evocaba más el progreso individual, se va acercando</w:t>
      </w:r>
      <w:r w:rsidR="00004359">
        <w:rPr>
          <w:rFonts w:ascii="Arial" w:hAnsi="Arial" w:cs="Arial"/>
          <w:sz w:val="24"/>
          <w:szCs w:val="24"/>
        </w:rPr>
        <w:t xml:space="preserve"> </w:t>
      </w:r>
      <w:r w:rsidR="0013494E">
        <w:rPr>
          <w:rFonts w:ascii="Arial" w:hAnsi="Arial" w:cs="Arial"/>
          <w:sz w:val="24"/>
          <w:szCs w:val="24"/>
        </w:rPr>
        <w:t>a la palabra</w:t>
      </w:r>
      <w:r w:rsidR="00004359">
        <w:rPr>
          <w:rFonts w:ascii="Arial" w:hAnsi="Arial" w:cs="Arial"/>
          <w:sz w:val="24"/>
          <w:szCs w:val="24"/>
        </w:rPr>
        <w:t xml:space="preserve"> “civilización</w:t>
      </w:r>
      <w:r w:rsidR="00E77D89">
        <w:rPr>
          <w:rFonts w:ascii="Arial" w:hAnsi="Arial" w:cs="Arial"/>
          <w:sz w:val="24"/>
          <w:szCs w:val="24"/>
        </w:rPr>
        <w:t>”</w:t>
      </w:r>
      <w:r w:rsidR="0013494E">
        <w:rPr>
          <w:rFonts w:ascii="Arial" w:hAnsi="Arial" w:cs="Arial"/>
          <w:sz w:val="24"/>
          <w:szCs w:val="24"/>
        </w:rPr>
        <w:t xml:space="preserve"> </w:t>
      </w:r>
      <w:r w:rsidR="00004359">
        <w:rPr>
          <w:rFonts w:ascii="Arial" w:hAnsi="Arial" w:cs="Arial"/>
          <w:sz w:val="24"/>
          <w:szCs w:val="24"/>
        </w:rPr>
        <w:t>van siendo usados cada vez más como sinónimos</w:t>
      </w:r>
      <w:r w:rsidR="00E77D89">
        <w:rPr>
          <w:rFonts w:ascii="Arial" w:hAnsi="Arial" w:cs="Arial"/>
          <w:sz w:val="24"/>
          <w:szCs w:val="24"/>
        </w:rPr>
        <w:t>. (Cuché,</w:t>
      </w:r>
      <w:r w:rsidR="008B268C">
        <w:rPr>
          <w:rFonts w:ascii="Arial" w:hAnsi="Arial" w:cs="Arial"/>
          <w:sz w:val="24"/>
          <w:szCs w:val="24"/>
        </w:rPr>
        <w:t xml:space="preserve"> </w:t>
      </w:r>
      <w:r w:rsidR="00F64B7B">
        <w:rPr>
          <w:rFonts w:ascii="Arial" w:hAnsi="Arial" w:cs="Arial"/>
          <w:sz w:val="24"/>
          <w:szCs w:val="24"/>
        </w:rPr>
        <w:t>2002</w:t>
      </w:r>
      <w:r w:rsidR="008B268C">
        <w:rPr>
          <w:rFonts w:ascii="Arial" w:hAnsi="Arial" w:cs="Arial"/>
          <w:sz w:val="24"/>
          <w:szCs w:val="24"/>
        </w:rPr>
        <w:t>).</w:t>
      </w:r>
      <w:r w:rsidR="00E77D89">
        <w:rPr>
          <w:rFonts w:ascii="Arial" w:hAnsi="Arial" w:cs="Arial"/>
          <w:sz w:val="24"/>
          <w:szCs w:val="24"/>
        </w:rPr>
        <w:t xml:space="preserve">     </w:t>
      </w:r>
    </w:p>
    <w:p w14:paraId="0DFB4B52" w14:textId="23CC0935" w:rsidR="00885411" w:rsidRDefault="00E51AF7" w:rsidP="00004359">
      <w:pPr>
        <w:spacing w:after="0" w:line="360" w:lineRule="auto"/>
        <w:jc w:val="both"/>
        <w:rPr>
          <w:rFonts w:ascii="Arial" w:hAnsi="Arial" w:cs="Arial"/>
          <w:sz w:val="24"/>
          <w:szCs w:val="24"/>
        </w:rPr>
      </w:pPr>
      <w:r>
        <w:rPr>
          <w:rFonts w:ascii="Arial" w:hAnsi="Arial" w:cs="Arial"/>
          <w:sz w:val="24"/>
          <w:szCs w:val="24"/>
        </w:rPr>
        <w:tab/>
      </w:r>
      <w:r w:rsidR="00E77D89">
        <w:rPr>
          <w:rFonts w:ascii="Arial" w:hAnsi="Arial" w:cs="Arial"/>
          <w:sz w:val="24"/>
          <w:szCs w:val="24"/>
        </w:rPr>
        <w:t>Así, el concepto tyloriano de “cultura</w:t>
      </w:r>
      <w:r w:rsidR="009D17E1">
        <w:rPr>
          <w:rFonts w:ascii="Arial" w:hAnsi="Arial" w:cs="Arial"/>
          <w:sz w:val="24"/>
          <w:szCs w:val="24"/>
        </w:rPr>
        <w:t>”</w:t>
      </w:r>
      <w:r w:rsidR="00E77D89">
        <w:rPr>
          <w:rFonts w:ascii="Arial" w:hAnsi="Arial" w:cs="Arial"/>
          <w:sz w:val="24"/>
          <w:szCs w:val="24"/>
        </w:rPr>
        <w:t>, m</w:t>
      </w:r>
      <w:r w:rsidR="009D17E1">
        <w:rPr>
          <w:rFonts w:ascii="Arial" w:hAnsi="Arial" w:cs="Arial"/>
          <w:sz w:val="24"/>
          <w:szCs w:val="24"/>
        </w:rPr>
        <w:t>uestra</w:t>
      </w:r>
      <w:r w:rsidR="00E77D89">
        <w:rPr>
          <w:rFonts w:ascii="Arial" w:hAnsi="Arial" w:cs="Arial"/>
          <w:sz w:val="24"/>
          <w:szCs w:val="24"/>
        </w:rPr>
        <w:t xml:space="preserve"> las huellas del Iluminismo, asoci</w:t>
      </w:r>
      <w:r w:rsidR="009D17E1">
        <w:rPr>
          <w:rFonts w:ascii="Arial" w:hAnsi="Arial" w:cs="Arial"/>
          <w:sz w:val="24"/>
          <w:szCs w:val="24"/>
        </w:rPr>
        <w:t>ándose</w:t>
      </w:r>
      <w:r w:rsidR="00E77D89">
        <w:rPr>
          <w:rFonts w:ascii="Arial" w:hAnsi="Arial" w:cs="Arial"/>
          <w:sz w:val="24"/>
          <w:szCs w:val="24"/>
        </w:rPr>
        <w:t xml:space="preserve"> a las ideas de progreso, de evolución, de razón.</w:t>
      </w:r>
      <w:r w:rsidR="00384A1C">
        <w:rPr>
          <w:rFonts w:ascii="Arial" w:hAnsi="Arial" w:cs="Arial"/>
          <w:sz w:val="24"/>
          <w:szCs w:val="24"/>
        </w:rPr>
        <w:t xml:space="preserve"> Si bien Tylor convierte a los conceptos de civilización y cultura en sinónimos, también contin</w:t>
      </w:r>
      <w:r w:rsidR="0013494E">
        <w:rPr>
          <w:rFonts w:ascii="Arial" w:hAnsi="Arial" w:cs="Arial"/>
          <w:sz w:val="24"/>
          <w:szCs w:val="24"/>
        </w:rPr>
        <w:t>ú</w:t>
      </w:r>
      <w:r w:rsidR="00384A1C">
        <w:rPr>
          <w:rFonts w:ascii="Arial" w:hAnsi="Arial" w:cs="Arial"/>
          <w:sz w:val="24"/>
          <w:szCs w:val="24"/>
        </w:rPr>
        <w:t>a usando la palabra civilización como estadio social opuesto a barbarie o salvajismo</w:t>
      </w:r>
    </w:p>
    <w:p w14:paraId="34142A46" w14:textId="2DB0ACFC" w:rsidR="004842D0" w:rsidRDefault="00E51AF7" w:rsidP="00004359">
      <w:pPr>
        <w:spacing w:after="0" w:line="360" w:lineRule="auto"/>
        <w:jc w:val="both"/>
        <w:rPr>
          <w:rFonts w:ascii="Arial" w:hAnsi="Arial" w:cs="Arial"/>
          <w:sz w:val="24"/>
          <w:szCs w:val="24"/>
        </w:rPr>
      </w:pPr>
      <w:r>
        <w:rPr>
          <w:rFonts w:ascii="Arial" w:hAnsi="Arial" w:cs="Arial"/>
          <w:sz w:val="24"/>
          <w:szCs w:val="24"/>
        </w:rPr>
        <w:tab/>
      </w:r>
      <w:r w:rsidR="00E77D89">
        <w:rPr>
          <w:rFonts w:ascii="Arial" w:hAnsi="Arial" w:cs="Arial"/>
          <w:sz w:val="24"/>
          <w:szCs w:val="24"/>
        </w:rPr>
        <w:t>A su vez</w:t>
      </w:r>
      <w:r w:rsidR="004016FE">
        <w:rPr>
          <w:rFonts w:ascii="Arial" w:hAnsi="Arial" w:cs="Arial"/>
          <w:sz w:val="24"/>
          <w:szCs w:val="24"/>
        </w:rPr>
        <w:t xml:space="preserve"> -también como herencia iluminista- </w:t>
      </w:r>
      <w:r w:rsidR="009D17E1">
        <w:rPr>
          <w:rFonts w:ascii="Arial" w:hAnsi="Arial" w:cs="Arial"/>
          <w:sz w:val="24"/>
          <w:szCs w:val="24"/>
        </w:rPr>
        <w:t xml:space="preserve">Tylor </w:t>
      </w:r>
      <w:r w:rsidR="00E77D89">
        <w:rPr>
          <w:rFonts w:ascii="Arial" w:hAnsi="Arial" w:cs="Arial"/>
          <w:sz w:val="24"/>
          <w:szCs w:val="24"/>
        </w:rPr>
        <w:t>adhiere a una concepción universalista de la cultura, como algo propio del ser humano y</w:t>
      </w:r>
      <w:r w:rsidR="00A76620">
        <w:rPr>
          <w:rFonts w:ascii="Arial" w:hAnsi="Arial" w:cs="Arial"/>
          <w:sz w:val="24"/>
          <w:szCs w:val="24"/>
        </w:rPr>
        <w:t>,</w:t>
      </w:r>
      <w:r w:rsidR="00E77D89">
        <w:rPr>
          <w:rFonts w:ascii="Arial" w:hAnsi="Arial" w:cs="Arial"/>
          <w:sz w:val="24"/>
          <w:szCs w:val="24"/>
        </w:rPr>
        <w:t xml:space="preserve"> por lo tanto, perteneciente a la humanidad en su conjunto, abarcando a todos los pueblos.</w:t>
      </w:r>
      <w:r w:rsidR="009D17E1">
        <w:rPr>
          <w:rFonts w:ascii="Arial" w:hAnsi="Arial" w:cs="Arial"/>
          <w:sz w:val="24"/>
          <w:szCs w:val="24"/>
        </w:rPr>
        <w:t xml:space="preserve"> En este sentido, el término “cultura” se usa en singular.</w:t>
      </w:r>
    </w:p>
    <w:p w14:paraId="5AD72422" w14:textId="4F56F6A4" w:rsidR="004842D0" w:rsidRDefault="004842D0" w:rsidP="00004359">
      <w:pPr>
        <w:spacing w:after="0" w:line="360" w:lineRule="auto"/>
        <w:jc w:val="both"/>
        <w:rPr>
          <w:rFonts w:ascii="Arial" w:hAnsi="Arial" w:cs="Arial"/>
          <w:sz w:val="24"/>
          <w:szCs w:val="24"/>
        </w:rPr>
      </w:pPr>
      <w:r>
        <w:rPr>
          <w:rFonts w:ascii="Arial" w:hAnsi="Arial" w:cs="Arial"/>
          <w:sz w:val="24"/>
          <w:szCs w:val="24"/>
        </w:rPr>
        <w:tab/>
      </w:r>
      <w:r w:rsidR="001C13F0">
        <w:rPr>
          <w:rFonts w:ascii="Arial" w:hAnsi="Arial" w:cs="Arial"/>
          <w:sz w:val="24"/>
          <w:szCs w:val="24"/>
        </w:rPr>
        <w:t xml:space="preserve"> Destaca su carácter uniforme</w:t>
      </w:r>
      <w:r w:rsidR="001F5DE8">
        <w:rPr>
          <w:rFonts w:ascii="Arial" w:hAnsi="Arial" w:cs="Arial"/>
          <w:sz w:val="24"/>
          <w:szCs w:val="24"/>
        </w:rPr>
        <w:t>:</w:t>
      </w:r>
      <w:r>
        <w:rPr>
          <w:rFonts w:ascii="Arial" w:hAnsi="Arial" w:cs="Arial"/>
          <w:sz w:val="24"/>
          <w:szCs w:val="24"/>
        </w:rPr>
        <w:t xml:space="preserve"> en tiempos y lugares diferentes aparecen desarrollos culturales similares, lo que atribuye a</w:t>
      </w:r>
      <w:r w:rsidR="002C6870">
        <w:rPr>
          <w:rFonts w:ascii="Arial" w:hAnsi="Arial" w:cs="Arial"/>
          <w:sz w:val="24"/>
          <w:szCs w:val="24"/>
        </w:rPr>
        <w:t xml:space="preserve"> la uniformidad de la mente humana</w:t>
      </w:r>
      <w:r w:rsidR="007A0BBF">
        <w:rPr>
          <w:rFonts w:ascii="Arial" w:hAnsi="Arial" w:cs="Arial"/>
          <w:sz w:val="24"/>
          <w:szCs w:val="24"/>
        </w:rPr>
        <w:t xml:space="preserve"> -herencia de la Ilustración</w:t>
      </w:r>
      <w:r w:rsidR="002C6870">
        <w:rPr>
          <w:rFonts w:ascii="Arial" w:hAnsi="Arial" w:cs="Arial"/>
          <w:sz w:val="24"/>
          <w:szCs w:val="24"/>
        </w:rPr>
        <w:t>.</w:t>
      </w:r>
      <w:r w:rsidR="00E77D89">
        <w:rPr>
          <w:rFonts w:ascii="Arial" w:hAnsi="Arial" w:cs="Arial"/>
          <w:sz w:val="24"/>
          <w:szCs w:val="24"/>
        </w:rPr>
        <w:t xml:space="preserve"> </w:t>
      </w:r>
      <w:r w:rsidR="001C13F0">
        <w:rPr>
          <w:rFonts w:ascii="Arial" w:hAnsi="Arial" w:cs="Arial"/>
          <w:sz w:val="24"/>
          <w:szCs w:val="24"/>
        </w:rPr>
        <w:t>Las marcadas diferencias de cultura</w:t>
      </w:r>
      <w:r>
        <w:rPr>
          <w:rFonts w:ascii="Arial" w:hAnsi="Arial" w:cs="Arial"/>
          <w:sz w:val="24"/>
          <w:szCs w:val="24"/>
        </w:rPr>
        <w:t>, a su vez,</w:t>
      </w:r>
      <w:r w:rsidR="001C13F0">
        <w:rPr>
          <w:rFonts w:ascii="Arial" w:hAnsi="Arial" w:cs="Arial"/>
          <w:sz w:val="24"/>
          <w:szCs w:val="24"/>
        </w:rPr>
        <w:t xml:space="preserve"> “son más bien de desarrollo que de origen, de grado que de especie” (Tylor, citado en Harris, 1968: 151).</w:t>
      </w:r>
      <w:r w:rsidRPr="004842D0">
        <w:rPr>
          <w:rFonts w:ascii="Arial" w:hAnsi="Arial" w:cs="Arial"/>
          <w:sz w:val="24"/>
          <w:szCs w:val="24"/>
        </w:rPr>
        <w:t xml:space="preserve"> </w:t>
      </w:r>
      <w:r>
        <w:rPr>
          <w:rFonts w:ascii="Arial" w:hAnsi="Arial" w:cs="Arial"/>
          <w:sz w:val="24"/>
          <w:szCs w:val="24"/>
        </w:rPr>
        <w:t xml:space="preserve">Sostiene así que existen diversos grados de cultura. </w:t>
      </w:r>
      <w:r w:rsidR="001C13F0">
        <w:rPr>
          <w:rFonts w:ascii="Arial" w:hAnsi="Arial" w:cs="Arial"/>
          <w:sz w:val="24"/>
          <w:szCs w:val="24"/>
        </w:rPr>
        <w:t xml:space="preserve"> </w:t>
      </w:r>
      <w:r>
        <w:rPr>
          <w:rFonts w:ascii="Arial" w:hAnsi="Arial" w:cs="Arial"/>
          <w:sz w:val="24"/>
          <w:szCs w:val="24"/>
        </w:rPr>
        <w:t>E</w:t>
      </w:r>
      <w:r w:rsidR="009D17E1">
        <w:rPr>
          <w:rFonts w:ascii="Arial" w:hAnsi="Arial" w:cs="Arial"/>
          <w:sz w:val="24"/>
          <w:szCs w:val="24"/>
        </w:rPr>
        <w:t>ntre primitivos y civilizados, las diferencias corresponden a diferentes grados de avance en el camino</w:t>
      </w:r>
      <w:r w:rsidR="001C13F0">
        <w:rPr>
          <w:rFonts w:ascii="Arial" w:hAnsi="Arial" w:cs="Arial"/>
          <w:sz w:val="24"/>
          <w:szCs w:val="24"/>
        </w:rPr>
        <w:t xml:space="preserve"> continuo</w:t>
      </w:r>
      <w:r w:rsidR="009D17E1">
        <w:rPr>
          <w:rFonts w:ascii="Arial" w:hAnsi="Arial" w:cs="Arial"/>
          <w:sz w:val="24"/>
          <w:szCs w:val="24"/>
        </w:rPr>
        <w:t xml:space="preserve"> de la cultura</w:t>
      </w:r>
      <w:r w:rsidR="00A76620">
        <w:rPr>
          <w:rFonts w:ascii="Arial" w:hAnsi="Arial" w:cs="Arial"/>
          <w:sz w:val="24"/>
          <w:szCs w:val="24"/>
        </w:rPr>
        <w:t xml:space="preserve"> (Cuché, </w:t>
      </w:r>
      <w:r w:rsidR="00F64B7B">
        <w:rPr>
          <w:rFonts w:ascii="Arial" w:hAnsi="Arial" w:cs="Arial"/>
          <w:sz w:val="24"/>
          <w:szCs w:val="24"/>
        </w:rPr>
        <w:t>2002</w:t>
      </w:r>
      <w:r w:rsidR="008B268C">
        <w:rPr>
          <w:rFonts w:ascii="Arial" w:hAnsi="Arial" w:cs="Arial"/>
          <w:sz w:val="24"/>
          <w:szCs w:val="24"/>
        </w:rPr>
        <w:t>).</w:t>
      </w:r>
    </w:p>
    <w:p w14:paraId="2B05B9F2" w14:textId="0A920585" w:rsidR="009D17E1" w:rsidRDefault="004842D0" w:rsidP="00004359">
      <w:pPr>
        <w:spacing w:after="0" w:line="360" w:lineRule="auto"/>
        <w:jc w:val="both"/>
        <w:rPr>
          <w:rFonts w:ascii="Arial" w:hAnsi="Arial" w:cs="Arial"/>
          <w:sz w:val="24"/>
          <w:szCs w:val="24"/>
        </w:rPr>
      </w:pPr>
      <w:r>
        <w:rPr>
          <w:rFonts w:ascii="Arial" w:hAnsi="Arial" w:cs="Arial"/>
          <w:sz w:val="24"/>
          <w:szCs w:val="24"/>
        </w:rPr>
        <w:tab/>
      </w:r>
      <w:r w:rsidR="009D17E1">
        <w:rPr>
          <w:rFonts w:ascii="Arial" w:hAnsi="Arial" w:cs="Arial"/>
          <w:sz w:val="24"/>
          <w:szCs w:val="24"/>
        </w:rPr>
        <w:t>Otro aspecto a destacar en la definición, es que la cultura es adquirida socialmente, no por herencia biológica</w:t>
      </w:r>
    </w:p>
    <w:p w14:paraId="545E6587" w14:textId="5EBBBFEA" w:rsidR="00E51AF7" w:rsidRDefault="00E51AF7" w:rsidP="00004359">
      <w:pPr>
        <w:spacing w:after="0" w:line="360" w:lineRule="auto"/>
        <w:jc w:val="both"/>
        <w:rPr>
          <w:rFonts w:ascii="Arial" w:hAnsi="Arial" w:cs="Arial"/>
          <w:sz w:val="24"/>
          <w:szCs w:val="24"/>
        </w:rPr>
      </w:pPr>
      <w:r>
        <w:rPr>
          <w:rFonts w:ascii="Arial" w:hAnsi="Arial" w:cs="Arial"/>
          <w:sz w:val="24"/>
          <w:szCs w:val="24"/>
        </w:rPr>
        <w:tab/>
        <w:t>El concepto de cultura de Tylor está unido con su idea de la evolución, y se inscribe en una de las grandes controversias antropológicas de la década de 1860: la polémica entre degradacionistas y progresionistas:</w:t>
      </w:r>
    </w:p>
    <w:p w14:paraId="63BE58A2" w14:textId="106966CB" w:rsidR="00E51AF7" w:rsidRDefault="00E51AF7" w:rsidP="004F193B">
      <w:pPr>
        <w:shd w:val="clear" w:color="auto" w:fill="FFF2CC" w:themeFill="accent4" w:themeFillTint="33"/>
        <w:spacing w:after="0" w:line="360" w:lineRule="auto"/>
        <w:ind w:left="357"/>
        <w:jc w:val="both"/>
        <w:rPr>
          <w:rFonts w:ascii="Arial" w:hAnsi="Arial" w:cs="Arial"/>
          <w:sz w:val="24"/>
          <w:szCs w:val="24"/>
        </w:rPr>
      </w:pPr>
      <w:r>
        <w:rPr>
          <w:rFonts w:ascii="Arial" w:hAnsi="Arial" w:cs="Arial"/>
          <w:sz w:val="24"/>
          <w:szCs w:val="24"/>
        </w:rPr>
        <w:tab/>
      </w:r>
      <w:r w:rsidR="004F193B">
        <w:rPr>
          <w:rFonts w:ascii="Arial" w:hAnsi="Arial" w:cs="Arial"/>
          <w:sz w:val="24"/>
          <w:szCs w:val="24"/>
        </w:rPr>
        <w:t>“</w:t>
      </w:r>
      <w:r>
        <w:rPr>
          <w:rFonts w:ascii="Arial" w:hAnsi="Arial" w:cs="Arial"/>
          <w:sz w:val="24"/>
          <w:szCs w:val="24"/>
        </w:rPr>
        <w:t>Los degradacionistas argüían que los pueblos salvajes, otrora, ha</w:t>
      </w:r>
      <w:r w:rsidR="004F193B">
        <w:rPr>
          <w:rFonts w:ascii="Arial" w:hAnsi="Arial" w:cs="Arial"/>
          <w:sz w:val="24"/>
          <w:szCs w:val="24"/>
        </w:rPr>
        <w:t xml:space="preserve">bían vivido en mejores condiciones, pero luego habían perdido la gracia de Dios y degenerado en la situación actual. El concepto degradacionista se unía al </w:t>
      </w:r>
      <w:r w:rsidR="004F193B">
        <w:rPr>
          <w:rFonts w:ascii="Arial" w:hAnsi="Arial" w:cs="Arial"/>
          <w:sz w:val="24"/>
          <w:szCs w:val="24"/>
        </w:rPr>
        <w:lastRenderedPageBreak/>
        <w:t>concepto de que la cultura no es un fenómeno natural, de modo que no corresponde al dominio del análisis científico. Tylor fue un destacado exponente de la posición progr</w:t>
      </w:r>
      <w:r w:rsidR="001F5DE8">
        <w:rPr>
          <w:rFonts w:ascii="Arial" w:hAnsi="Arial" w:cs="Arial"/>
          <w:sz w:val="24"/>
          <w:szCs w:val="24"/>
        </w:rPr>
        <w:t>e</w:t>
      </w:r>
      <w:r w:rsidR="004F193B">
        <w:rPr>
          <w:rFonts w:ascii="Arial" w:hAnsi="Arial" w:cs="Arial"/>
          <w:sz w:val="24"/>
          <w:szCs w:val="24"/>
        </w:rPr>
        <w:t>sionista, de acuerdo con la cual, todas las sociedades y las instituciones pasan por un proceso gradual -y natural- de desarrollo, y los diferentes pueblos del mundo representan diferentes niveles de realización a lo largo de esta línea de progresión evolucionista.” (Hatch, 1975:28).</w:t>
      </w:r>
    </w:p>
    <w:p w14:paraId="6104CBC2" w14:textId="1D437F1C" w:rsidR="004F193B" w:rsidRDefault="004F193B" w:rsidP="00004359">
      <w:pPr>
        <w:spacing w:after="0" w:line="360" w:lineRule="auto"/>
        <w:jc w:val="both"/>
        <w:rPr>
          <w:rFonts w:ascii="Arial" w:hAnsi="Arial" w:cs="Arial"/>
          <w:sz w:val="24"/>
          <w:szCs w:val="24"/>
        </w:rPr>
      </w:pPr>
    </w:p>
    <w:p w14:paraId="7DAAC806" w14:textId="617CD1F9" w:rsidR="00F16110" w:rsidRDefault="00572AE4" w:rsidP="00F16110">
      <w:pPr>
        <w:spacing w:after="0" w:line="360" w:lineRule="auto"/>
        <w:jc w:val="both"/>
        <w:rPr>
          <w:rFonts w:ascii="Arial" w:hAnsi="Arial" w:cs="Arial"/>
          <w:sz w:val="24"/>
          <w:szCs w:val="24"/>
        </w:rPr>
      </w:pPr>
      <w:r>
        <w:rPr>
          <w:rFonts w:ascii="Arial" w:hAnsi="Arial" w:cs="Arial"/>
          <w:sz w:val="24"/>
          <w:szCs w:val="24"/>
        </w:rPr>
        <w:tab/>
        <w:t xml:space="preserve">Su libro </w:t>
      </w:r>
      <w:r w:rsidRPr="00F64B7B">
        <w:rPr>
          <w:rFonts w:ascii="Arial" w:hAnsi="Arial" w:cs="Arial"/>
          <w:i/>
          <w:iCs/>
          <w:sz w:val="24"/>
          <w:szCs w:val="24"/>
        </w:rPr>
        <w:t xml:space="preserve">Cultura Primitiva </w:t>
      </w:r>
      <w:r>
        <w:rPr>
          <w:rFonts w:ascii="Arial" w:hAnsi="Arial" w:cs="Arial"/>
          <w:sz w:val="24"/>
          <w:szCs w:val="24"/>
        </w:rPr>
        <w:t>procura demostrar que la cultura humana es producto de una evolución continua, progresiva y sujeta a leyes</w:t>
      </w:r>
      <w:r w:rsidR="000B6021">
        <w:rPr>
          <w:rFonts w:ascii="Arial" w:hAnsi="Arial" w:cs="Arial"/>
          <w:sz w:val="24"/>
          <w:szCs w:val="24"/>
        </w:rPr>
        <w:t xml:space="preserve">. </w:t>
      </w:r>
      <w:r w:rsidR="00F16110">
        <w:rPr>
          <w:rFonts w:ascii="Arial" w:hAnsi="Arial" w:cs="Arial"/>
          <w:sz w:val="24"/>
          <w:szCs w:val="24"/>
        </w:rPr>
        <w:t>Tylor subrayó que la cultura es merecedora de un estudio científico, sistemático, que descubra los nexos de causalidad que conectan los fenómenos culturales. Se opuso a toda tendencia a ver los acontecimientos de la historia humana como inmotivados, o producto del azar, del capricho o absurdos inexplicables. Estas ideas sólo pueden sostenerlas quienes</w:t>
      </w:r>
      <w:r w:rsidR="003508D7">
        <w:rPr>
          <w:rFonts w:ascii="Arial" w:hAnsi="Arial" w:cs="Arial"/>
          <w:sz w:val="24"/>
          <w:szCs w:val="24"/>
        </w:rPr>
        <w:t xml:space="preserve"> “</w:t>
      </w:r>
      <w:r w:rsidR="00F16110">
        <w:rPr>
          <w:rFonts w:ascii="Arial" w:hAnsi="Arial" w:cs="Arial"/>
          <w:sz w:val="24"/>
          <w:szCs w:val="24"/>
        </w:rPr>
        <w:t>no alcanzan a ver la línea de conexión de los hechos”.</w:t>
      </w:r>
    </w:p>
    <w:p w14:paraId="179CC683" w14:textId="151562A8" w:rsidR="001A45AA" w:rsidRDefault="00F16110" w:rsidP="00004359">
      <w:pPr>
        <w:spacing w:after="0" w:line="360" w:lineRule="auto"/>
        <w:jc w:val="both"/>
        <w:rPr>
          <w:rFonts w:ascii="Arial" w:hAnsi="Arial" w:cs="Arial"/>
          <w:sz w:val="24"/>
          <w:szCs w:val="24"/>
        </w:rPr>
      </w:pPr>
      <w:r>
        <w:rPr>
          <w:rFonts w:ascii="Arial" w:hAnsi="Arial" w:cs="Arial"/>
          <w:sz w:val="24"/>
          <w:szCs w:val="24"/>
        </w:rPr>
        <w:tab/>
      </w:r>
      <w:r w:rsidR="000B6021">
        <w:rPr>
          <w:rFonts w:ascii="Arial" w:hAnsi="Arial" w:cs="Arial"/>
          <w:sz w:val="24"/>
          <w:szCs w:val="24"/>
        </w:rPr>
        <w:t>Como el resto de los evolucionistas, Tylor subrayó y aportó numerosas pruebas de invención independiente de rasgos culturales semejantes. El énfasis en los procesos de invención independiente, y en la idea de que los estadios de cultura se habían sucedido de modo esencialmente uniforme</w:t>
      </w:r>
      <w:r w:rsidR="00F64B7B">
        <w:rPr>
          <w:rFonts w:ascii="Arial" w:hAnsi="Arial" w:cs="Arial"/>
          <w:sz w:val="24"/>
          <w:szCs w:val="24"/>
        </w:rPr>
        <w:t>,</w:t>
      </w:r>
      <w:r w:rsidR="000B6021">
        <w:rPr>
          <w:rFonts w:ascii="Arial" w:hAnsi="Arial" w:cs="Arial"/>
          <w:sz w:val="24"/>
          <w:szCs w:val="24"/>
        </w:rPr>
        <w:t xml:space="preserve"> se presentaba como un argumento de peso en favor de la unidad psíquica</w:t>
      </w:r>
      <w:r w:rsidR="001A45AA">
        <w:rPr>
          <w:rFonts w:ascii="Arial" w:hAnsi="Arial" w:cs="Arial"/>
          <w:sz w:val="24"/>
          <w:szCs w:val="24"/>
        </w:rPr>
        <w:t>, como se refleja en el siguiente fragmento:</w:t>
      </w:r>
    </w:p>
    <w:p w14:paraId="707689A4" w14:textId="77777777" w:rsidR="000E2B52" w:rsidRDefault="000E2B52" w:rsidP="00004359">
      <w:pPr>
        <w:spacing w:after="0" w:line="360" w:lineRule="auto"/>
        <w:jc w:val="both"/>
        <w:rPr>
          <w:rFonts w:ascii="Arial" w:hAnsi="Arial" w:cs="Arial"/>
          <w:sz w:val="24"/>
          <w:szCs w:val="24"/>
        </w:rPr>
      </w:pPr>
    </w:p>
    <w:p w14:paraId="5286437C" w14:textId="7DD3EDB2" w:rsidR="001A45AA" w:rsidRPr="001A45AA" w:rsidRDefault="001A45AA" w:rsidP="001A45AA">
      <w:pPr>
        <w:shd w:val="clear" w:color="auto" w:fill="FFF2CC" w:themeFill="accent4" w:themeFillTint="33"/>
        <w:spacing w:after="0" w:line="360" w:lineRule="auto"/>
        <w:ind w:left="708"/>
        <w:jc w:val="both"/>
        <w:rPr>
          <w:rFonts w:ascii="Arial" w:hAnsi="Arial" w:cs="Arial"/>
          <w:sz w:val="24"/>
          <w:szCs w:val="24"/>
        </w:rPr>
      </w:pPr>
      <w:r>
        <w:rPr>
          <w:rFonts w:ascii="Arial" w:hAnsi="Arial" w:cs="Arial"/>
          <w:sz w:val="24"/>
          <w:szCs w:val="24"/>
        </w:rPr>
        <w:t xml:space="preserve">“(…) </w:t>
      </w:r>
      <w:r w:rsidRPr="001A45AA">
        <w:rPr>
          <w:rFonts w:ascii="Arial" w:hAnsi="Arial" w:cs="Arial"/>
          <w:sz w:val="24"/>
          <w:szCs w:val="24"/>
        </w:rPr>
        <w:t>donde quiera que la presencia de un mismo arte o de un conocimiento determinado en dos lugares distintos se puede atribuir con seguridad a una invención independiente, como es el caso cuando nos encontramos con los constructores de los antiguos palafitos de Suiza y con los neozelandeses modernos usando la misma técnica de construcción en sus curiosas casas de haces de fibras atadas, el paso similar así atestiguado en tiempos y en lugares diferentes tiende a probar la similitud de los espíritus que lo dieron</w:t>
      </w:r>
      <w:r>
        <w:rPr>
          <w:rFonts w:ascii="Arial" w:hAnsi="Arial" w:cs="Arial"/>
          <w:sz w:val="24"/>
          <w:szCs w:val="24"/>
        </w:rPr>
        <w:t xml:space="preserve"> (…) </w:t>
      </w:r>
      <w:r w:rsidRPr="001A45AA">
        <w:rPr>
          <w:rFonts w:ascii="Arial" w:hAnsi="Arial" w:cs="Arial"/>
          <w:sz w:val="24"/>
          <w:szCs w:val="24"/>
        </w:rPr>
        <w:t>Pues si ese objeto similar es en dos lugares</w:t>
      </w:r>
      <w:r>
        <w:rPr>
          <w:rFonts w:ascii="Arial" w:hAnsi="Arial" w:cs="Arial"/>
          <w:sz w:val="24"/>
          <w:szCs w:val="24"/>
        </w:rPr>
        <w:t xml:space="preserve"> distintos</w:t>
      </w:r>
      <w:r w:rsidRPr="001A45AA">
        <w:rPr>
          <w:rFonts w:ascii="Arial" w:hAnsi="Arial" w:cs="Arial"/>
          <w:sz w:val="24"/>
          <w:szCs w:val="24"/>
        </w:rPr>
        <w:t xml:space="preserve"> producto de invenciones independientes, entonces, como acabamos de decir, es una prueba directa de la </w:t>
      </w:r>
      <w:r w:rsidRPr="001A45AA">
        <w:rPr>
          <w:rFonts w:ascii="Arial" w:hAnsi="Arial" w:cs="Arial"/>
          <w:sz w:val="24"/>
          <w:szCs w:val="24"/>
        </w:rPr>
        <w:lastRenderedPageBreak/>
        <w:t>semejanza del espíritu. Y</w:t>
      </w:r>
      <w:r>
        <w:rPr>
          <w:rFonts w:ascii="Arial" w:hAnsi="Arial" w:cs="Arial"/>
          <w:sz w:val="24"/>
          <w:szCs w:val="24"/>
        </w:rPr>
        <w:t xml:space="preserve">, </w:t>
      </w:r>
      <w:r w:rsidRPr="001A45AA">
        <w:rPr>
          <w:rFonts w:ascii="Arial" w:hAnsi="Arial" w:cs="Arial"/>
          <w:sz w:val="24"/>
          <w:szCs w:val="24"/>
        </w:rPr>
        <w:t>por otro lado, si es que fue llevado de un lugar a otro, o de un tercero a los dos, por mera transmisión de pueblo a pueblo, entonces la poquedad del cambio que ha sufrido en el trasplante sigue siendo una prueba de la similar naturaleza de los suelos sobre los que cr</w:t>
      </w:r>
      <w:r>
        <w:rPr>
          <w:rFonts w:ascii="Arial" w:hAnsi="Arial" w:cs="Arial"/>
          <w:sz w:val="24"/>
          <w:szCs w:val="24"/>
        </w:rPr>
        <w:t>ece” (Tylor, 1865, citado en Harris, 1968:151).</w:t>
      </w:r>
    </w:p>
    <w:p w14:paraId="6B9B86D1" w14:textId="77777777" w:rsidR="001A45AA" w:rsidRDefault="001A45AA" w:rsidP="00004359">
      <w:pPr>
        <w:spacing w:after="0" w:line="360" w:lineRule="auto"/>
        <w:jc w:val="both"/>
        <w:rPr>
          <w:rFonts w:ascii="Arial" w:hAnsi="Arial" w:cs="Arial"/>
          <w:sz w:val="24"/>
          <w:szCs w:val="24"/>
        </w:rPr>
      </w:pPr>
      <w:r>
        <w:rPr>
          <w:rFonts w:ascii="Arial" w:hAnsi="Arial" w:cs="Arial"/>
          <w:sz w:val="24"/>
          <w:szCs w:val="24"/>
        </w:rPr>
        <w:tab/>
      </w:r>
    </w:p>
    <w:p w14:paraId="73B06E45" w14:textId="699BEC48" w:rsidR="000B6021" w:rsidRDefault="001A45AA" w:rsidP="00004359">
      <w:pPr>
        <w:spacing w:after="0" w:line="360" w:lineRule="auto"/>
        <w:jc w:val="both"/>
        <w:rPr>
          <w:rFonts w:ascii="Arial" w:hAnsi="Arial" w:cs="Arial"/>
          <w:sz w:val="24"/>
          <w:szCs w:val="24"/>
        </w:rPr>
      </w:pPr>
      <w:r>
        <w:rPr>
          <w:rFonts w:ascii="Arial" w:hAnsi="Arial" w:cs="Arial"/>
          <w:sz w:val="24"/>
          <w:szCs w:val="24"/>
        </w:rPr>
        <w:tab/>
        <w:t>Esta cita pone de manifiesto</w:t>
      </w:r>
      <w:r w:rsidR="000B6021">
        <w:rPr>
          <w:rFonts w:ascii="Arial" w:hAnsi="Arial" w:cs="Arial"/>
          <w:sz w:val="24"/>
          <w:szCs w:val="24"/>
        </w:rPr>
        <w:t xml:space="preserve"> que Tylor combina su posición evolucionista con un alto reconocimiento del papel de los procesos de difusión en la historia humana</w:t>
      </w:r>
      <w:r>
        <w:rPr>
          <w:rFonts w:ascii="Arial" w:hAnsi="Arial" w:cs="Arial"/>
          <w:sz w:val="24"/>
          <w:szCs w:val="24"/>
        </w:rPr>
        <w:t xml:space="preserve">, que también son vistos como un apoyo a la doctrina de la unidad psíquica. </w:t>
      </w:r>
    </w:p>
    <w:p w14:paraId="593CA89C" w14:textId="6B9EF1BA" w:rsidR="006F1BBF" w:rsidRDefault="006F1BBF" w:rsidP="00004359">
      <w:pPr>
        <w:spacing w:after="0" w:line="360" w:lineRule="auto"/>
        <w:jc w:val="both"/>
        <w:rPr>
          <w:rFonts w:ascii="Arial" w:hAnsi="Arial" w:cs="Arial"/>
          <w:sz w:val="24"/>
          <w:szCs w:val="24"/>
        </w:rPr>
      </w:pPr>
      <w:r>
        <w:rPr>
          <w:rFonts w:ascii="Arial" w:hAnsi="Arial" w:cs="Arial"/>
          <w:sz w:val="24"/>
          <w:szCs w:val="24"/>
        </w:rPr>
        <w:tab/>
        <w:t>El concepto de cultura de Tylor también influyó en su concepción de las instituciones y creencias racionales (que contrapuso a las conservadoras, tradicionales). “(…) supuso que el sentido de las prácticas sociales no tradicionales se manifiesta por referencia a los principios de razón y utilidad” (Hatch, 1975:36).</w:t>
      </w:r>
      <w:r w:rsidR="000018BD">
        <w:rPr>
          <w:rFonts w:ascii="Arial" w:hAnsi="Arial" w:cs="Arial"/>
          <w:sz w:val="24"/>
          <w:szCs w:val="24"/>
        </w:rPr>
        <w:t xml:space="preserve"> E</w:t>
      </w:r>
      <w:r>
        <w:rPr>
          <w:rFonts w:ascii="Arial" w:hAnsi="Arial" w:cs="Arial"/>
          <w:sz w:val="24"/>
          <w:szCs w:val="24"/>
        </w:rPr>
        <w:t>sto puede ilustrarse con su interpretación de mitos y leyendas como intentos racionales de los primitivos de explicarse el mundo que los rodea, como surgidos del “anhelo de conocer las causas y las razones”</w:t>
      </w:r>
      <w:r w:rsidR="000018BD">
        <w:rPr>
          <w:rFonts w:ascii="Arial" w:hAnsi="Arial" w:cs="Arial"/>
          <w:sz w:val="24"/>
          <w:szCs w:val="24"/>
        </w:rPr>
        <w:t xml:space="preserve"> </w:t>
      </w:r>
      <w:r>
        <w:rPr>
          <w:rFonts w:ascii="Arial" w:hAnsi="Arial" w:cs="Arial"/>
          <w:sz w:val="24"/>
          <w:szCs w:val="24"/>
        </w:rPr>
        <w:t>(Tylor, 1871).</w:t>
      </w:r>
      <w:r w:rsidR="00F64B7B">
        <w:rPr>
          <w:rFonts w:ascii="Arial" w:hAnsi="Arial" w:cs="Arial"/>
          <w:sz w:val="24"/>
          <w:szCs w:val="24"/>
        </w:rPr>
        <w:tab/>
      </w:r>
    </w:p>
    <w:p w14:paraId="41702858" w14:textId="32AB2B0A" w:rsidR="00572AE4" w:rsidRDefault="006F1BBF" w:rsidP="00004359">
      <w:pPr>
        <w:spacing w:after="0" w:line="360" w:lineRule="auto"/>
        <w:jc w:val="both"/>
        <w:rPr>
          <w:rFonts w:ascii="Arial" w:hAnsi="Arial" w:cs="Arial"/>
          <w:sz w:val="24"/>
          <w:szCs w:val="24"/>
        </w:rPr>
      </w:pPr>
      <w:r>
        <w:rPr>
          <w:rFonts w:ascii="Arial" w:hAnsi="Arial" w:cs="Arial"/>
          <w:sz w:val="24"/>
          <w:szCs w:val="24"/>
        </w:rPr>
        <w:tab/>
        <w:t xml:space="preserve"> </w:t>
      </w:r>
      <w:r w:rsidR="00572AE4">
        <w:rPr>
          <w:rFonts w:ascii="Arial" w:hAnsi="Arial" w:cs="Arial"/>
          <w:sz w:val="24"/>
          <w:szCs w:val="24"/>
        </w:rPr>
        <w:t xml:space="preserve">En </w:t>
      </w:r>
      <w:r w:rsidR="00F64B7B" w:rsidRPr="00F64B7B">
        <w:rPr>
          <w:rFonts w:ascii="Arial" w:hAnsi="Arial" w:cs="Arial"/>
          <w:i/>
          <w:iCs/>
          <w:sz w:val="24"/>
          <w:szCs w:val="24"/>
        </w:rPr>
        <w:t>Cultura Primitiva</w:t>
      </w:r>
      <w:r w:rsidR="00572AE4">
        <w:rPr>
          <w:rFonts w:ascii="Arial" w:hAnsi="Arial" w:cs="Arial"/>
          <w:sz w:val="24"/>
          <w:szCs w:val="24"/>
        </w:rPr>
        <w:t xml:space="preserve">, el tema central es la evolución de la religión, a partir del concepto de </w:t>
      </w:r>
      <w:r w:rsidR="00572AE4" w:rsidRPr="004702FC">
        <w:rPr>
          <w:rFonts w:ascii="Arial" w:hAnsi="Arial" w:cs="Arial"/>
          <w:b/>
          <w:bCs/>
          <w:sz w:val="24"/>
          <w:szCs w:val="24"/>
        </w:rPr>
        <w:t>“animismo”,</w:t>
      </w:r>
      <w:r w:rsidR="00572AE4">
        <w:rPr>
          <w:rFonts w:ascii="Arial" w:hAnsi="Arial" w:cs="Arial"/>
          <w:sz w:val="24"/>
          <w:szCs w:val="24"/>
        </w:rPr>
        <w:t xml:space="preserve"> que constituye la forma más primitiva de las creencias </w:t>
      </w:r>
      <w:r w:rsidR="005D7814">
        <w:rPr>
          <w:rFonts w:ascii="Arial" w:hAnsi="Arial" w:cs="Arial"/>
          <w:sz w:val="24"/>
          <w:szCs w:val="24"/>
        </w:rPr>
        <w:t xml:space="preserve">religiosas. El animismo se basa en la creencia en el alma humana, que surge de experiencias subjetivas universales, como son el sueño y las visiones, </w:t>
      </w:r>
      <w:r w:rsidR="009E1015">
        <w:rPr>
          <w:rFonts w:ascii="Arial" w:hAnsi="Arial" w:cs="Arial"/>
          <w:sz w:val="24"/>
          <w:szCs w:val="24"/>
        </w:rPr>
        <w:t xml:space="preserve">en los </w:t>
      </w:r>
      <w:r w:rsidR="005D7814">
        <w:rPr>
          <w:rFonts w:ascii="Arial" w:hAnsi="Arial" w:cs="Arial"/>
          <w:sz w:val="24"/>
          <w:szCs w:val="24"/>
        </w:rPr>
        <w:t>que se ve “una imagen humana tenue e insustancial, por su naturaleza, como una especie de vapor, o una delgada película o una sombra.” (Tylor, citado en Harris, 1968:176).</w:t>
      </w:r>
    </w:p>
    <w:p w14:paraId="1DC18FCA" w14:textId="1B791819" w:rsidR="005D7814" w:rsidRDefault="005D7814" w:rsidP="00004359">
      <w:pPr>
        <w:spacing w:after="0" w:line="360" w:lineRule="auto"/>
        <w:jc w:val="both"/>
        <w:rPr>
          <w:rFonts w:ascii="Arial" w:hAnsi="Arial" w:cs="Arial"/>
          <w:sz w:val="24"/>
          <w:szCs w:val="24"/>
        </w:rPr>
      </w:pPr>
      <w:r>
        <w:rPr>
          <w:rFonts w:ascii="Arial" w:hAnsi="Arial" w:cs="Arial"/>
          <w:sz w:val="24"/>
          <w:szCs w:val="24"/>
        </w:rPr>
        <w:tab/>
        <w:t>La utilidad de este concepto está en su capacidad de dar cuenta de otra serie de experiencias universales: la muerte, la enfermedad, el desmayo, el trance, etc. Esta idea del alma humana fue el modelo para desarrollar otras ideas de seres espirituales. Estas creencias han pervivido durante períodos muy largos y</w:t>
      </w:r>
      <w:r w:rsidR="00616AEB">
        <w:rPr>
          <w:rFonts w:ascii="Arial" w:hAnsi="Arial" w:cs="Arial"/>
          <w:sz w:val="24"/>
          <w:szCs w:val="24"/>
        </w:rPr>
        <w:t xml:space="preserve"> se conservan como supervivencias entre los campesinos y sectores populares en las sociedades modernas.</w:t>
      </w:r>
    </w:p>
    <w:p w14:paraId="0F9E43E3" w14:textId="3B99CAA0" w:rsidR="00616AEB" w:rsidRDefault="004702FC" w:rsidP="00004359">
      <w:pPr>
        <w:spacing w:after="0" w:line="360" w:lineRule="auto"/>
        <w:jc w:val="both"/>
        <w:rPr>
          <w:rFonts w:ascii="Arial" w:hAnsi="Arial" w:cs="Arial"/>
          <w:sz w:val="24"/>
          <w:szCs w:val="24"/>
        </w:rPr>
      </w:pPr>
      <w:r>
        <w:rPr>
          <w:rFonts w:ascii="Arial" w:hAnsi="Arial" w:cs="Arial"/>
          <w:sz w:val="24"/>
          <w:szCs w:val="24"/>
        </w:rPr>
        <w:tab/>
      </w:r>
      <w:r w:rsidR="00616AEB">
        <w:rPr>
          <w:rFonts w:ascii="Arial" w:hAnsi="Arial" w:cs="Arial"/>
          <w:sz w:val="24"/>
          <w:szCs w:val="24"/>
        </w:rPr>
        <w:t xml:space="preserve">Las actuales religiones monoteístas han tenido sus orígenes en la doctrina animista, y las causas de su evolución Tylor las atribuye a la fuerza de la razón, </w:t>
      </w:r>
      <w:r w:rsidR="00616AEB">
        <w:rPr>
          <w:rFonts w:ascii="Arial" w:hAnsi="Arial" w:cs="Arial"/>
          <w:sz w:val="24"/>
          <w:szCs w:val="24"/>
        </w:rPr>
        <w:lastRenderedPageBreak/>
        <w:t>a la capacidad de la mente humana de autoperfeccionarse, de buscar explicaciones mejores, más inteligentes.</w:t>
      </w:r>
    </w:p>
    <w:p w14:paraId="15FF3644" w14:textId="0100232E" w:rsidR="00F16110" w:rsidRPr="00004359" w:rsidRDefault="00D04FE6" w:rsidP="00004359">
      <w:pPr>
        <w:spacing w:after="0" w:line="360" w:lineRule="auto"/>
        <w:jc w:val="both"/>
        <w:rPr>
          <w:rFonts w:ascii="Arial" w:hAnsi="Arial" w:cs="Arial"/>
          <w:sz w:val="24"/>
          <w:szCs w:val="24"/>
        </w:rPr>
      </w:pPr>
      <w:r>
        <w:rPr>
          <w:rFonts w:ascii="Arial" w:hAnsi="Arial" w:cs="Arial"/>
          <w:sz w:val="24"/>
          <w:szCs w:val="24"/>
        </w:rPr>
        <w:tab/>
      </w:r>
      <w:r w:rsidR="00F16110">
        <w:rPr>
          <w:rFonts w:ascii="Arial" w:hAnsi="Arial" w:cs="Arial"/>
          <w:sz w:val="24"/>
          <w:szCs w:val="24"/>
        </w:rPr>
        <w:t>Las diferentes prácticas y creencias de la religión primitiva son, para Tylor, coherentes y lógicas. En cuanto se las clasifica, aunque sea toscamente “comienzan a revelar los principios de su formación y desarrollo, y estos principios son esencialmente racionales, aunque operan en unas condiciones intelectivas de intensa e inveterada ignorancia” (Tylor, 1871:38).</w:t>
      </w:r>
    </w:p>
    <w:p w14:paraId="793A65D6" w14:textId="17763D48" w:rsidR="008C531D" w:rsidRDefault="008C531D" w:rsidP="00004359">
      <w:pPr>
        <w:spacing w:after="0" w:line="360" w:lineRule="auto"/>
        <w:jc w:val="both"/>
        <w:rPr>
          <w:rFonts w:ascii="Arial" w:hAnsi="Arial" w:cs="Arial"/>
          <w:sz w:val="24"/>
          <w:szCs w:val="24"/>
        </w:rPr>
      </w:pPr>
      <w:r>
        <w:rPr>
          <w:rFonts w:ascii="Arial" w:hAnsi="Arial" w:cs="Arial"/>
          <w:sz w:val="24"/>
          <w:szCs w:val="24"/>
        </w:rPr>
        <w:tab/>
      </w:r>
    </w:p>
    <w:p w14:paraId="2E19A356" w14:textId="77777777" w:rsidR="00AB2EC9" w:rsidRPr="00004359" w:rsidRDefault="00AB2EC9" w:rsidP="00004359">
      <w:pPr>
        <w:spacing w:after="0" w:line="360" w:lineRule="auto"/>
        <w:jc w:val="both"/>
        <w:rPr>
          <w:rFonts w:ascii="Arial" w:hAnsi="Arial" w:cs="Arial"/>
          <w:sz w:val="24"/>
          <w:szCs w:val="24"/>
        </w:rPr>
      </w:pPr>
    </w:p>
    <w:p w14:paraId="3CCDC964" w14:textId="61C77E80" w:rsidR="00D82230" w:rsidRPr="00DB6BA7" w:rsidRDefault="00D82230" w:rsidP="00D82230">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Marco metodológico</w:t>
      </w:r>
    </w:p>
    <w:p w14:paraId="3C62E1F0" w14:textId="77777777" w:rsidR="00461072" w:rsidRDefault="00461072" w:rsidP="00E3024C">
      <w:pPr>
        <w:spacing w:after="0" w:line="360" w:lineRule="auto"/>
        <w:ind w:firstLine="708"/>
        <w:jc w:val="both"/>
        <w:rPr>
          <w:rFonts w:ascii="Arial" w:hAnsi="Arial" w:cs="Arial"/>
          <w:sz w:val="24"/>
          <w:szCs w:val="24"/>
        </w:rPr>
      </w:pPr>
    </w:p>
    <w:p w14:paraId="470D6BD8" w14:textId="787625D2" w:rsidR="00D82230" w:rsidRDefault="00E51AF7" w:rsidP="00E51AF7">
      <w:pPr>
        <w:spacing w:after="0" w:line="360" w:lineRule="auto"/>
        <w:jc w:val="both"/>
        <w:rPr>
          <w:rFonts w:ascii="Arial" w:hAnsi="Arial" w:cs="Arial"/>
          <w:sz w:val="24"/>
          <w:szCs w:val="24"/>
        </w:rPr>
      </w:pPr>
      <w:r>
        <w:rPr>
          <w:rFonts w:ascii="Arial" w:hAnsi="Arial" w:cs="Arial"/>
          <w:sz w:val="24"/>
          <w:szCs w:val="24"/>
        </w:rPr>
        <w:tab/>
      </w:r>
      <w:r w:rsidR="008C531D">
        <w:rPr>
          <w:rFonts w:ascii="Arial" w:hAnsi="Arial" w:cs="Arial"/>
          <w:sz w:val="24"/>
          <w:szCs w:val="24"/>
        </w:rPr>
        <w:t>Tylor u</w:t>
      </w:r>
      <w:r w:rsidR="00D82230">
        <w:rPr>
          <w:rFonts w:ascii="Arial" w:hAnsi="Arial" w:cs="Arial"/>
          <w:sz w:val="24"/>
          <w:szCs w:val="24"/>
        </w:rPr>
        <w:t>só dos métodos principales para delinear el curso de la evolución</w:t>
      </w:r>
      <w:r>
        <w:rPr>
          <w:rFonts w:ascii="Arial" w:hAnsi="Arial" w:cs="Arial"/>
          <w:sz w:val="24"/>
          <w:szCs w:val="24"/>
        </w:rPr>
        <w:t xml:space="preserve"> cultural</w:t>
      </w:r>
      <w:r w:rsidR="00D82230">
        <w:rPr>
          <w:rFonts w:ascii="Arial" w:hAnsi="Arial" w:cs="Arial"/>
          <w:sz w:val="24"/>
          <w:szCs w:val="24"/>
        </w:rPr>
        <w:t xml:space="preserve">: el método comparativo y el análisis de las </w:t>
      </w:r>
      <w:r w:rsidR="00D82230" w:rsidRPr="00D82230">
        <w:rPr>
          <w:rFonts w:ascii="Arial" w:hAnsi="Arial" w:cs="Arial"/>
          <w:i/>
          <w:iCs/>
          <w:sz w:val="24"/>
          <w:szCs w:val="24"/>
        </w:rPr>
        <w:t>supervivencias</w:t>
      </w:r>
      <w:r w:rsidR="00D82230">
        <w:rPr>
          <w:rFonts w:ascii="Arial" w:hAnsi="Arial" w:cs="Arial"/>
          <w:sz w:val="24"/>
          <w:szCs w:val="24"/>
        </w:rPr>
        <w:t>.</w:t>
      </w:r>
    </w:p>
    <w:p w14:paraId="43D0C4A9" w14:textId="61651EA9" w:rsidR="00461072" w:rsidRDefault="00461072" w:rsidP="00E3024C">
      <w:pPr>
        <w:spacing w:after="0" w:line="360" w:lineRule="auto"/>
        <w:ind w:firstLine="708"/>
        <w:jc w:val="both"/>
        <w:rPr>
          <w:rFonts w:ascii="Arial" w:hAnsi="Arial" w:cs="Arial"/>
          <w:sz w:val="24"/>
          <w:szCs w:val="24"/>
        </w:rPr>
      </w:pPr>
      <w:r w:rsidRPr="002B67DB">
        <w:rPr>
          <w:rFonts w:ascii="Arial" w:hAnsi="Arial" w:cs="Arial"/>
          <w:sz w:val="24"/>
          <w:szCs w:val="24"/>
          <w:u w:val="single"/>
        </w:rPr>
        <w:t>El método comparativo</w:t>
      </w:r>
      <w:r>
        <w:rPr>
          <w:rFonts w:ascii="Arial" w:hAnsi="Arial" w:cs="Arial"/>
          <w:sz w:val="24"/>
          <w:szCs w:val="24"/>
        </w:rPr>
        <w:t xml:space="preserve"> consiste en recopilar una amplia cantidad de datos de pueblos “salvajes” a “civilizados”,</w:t>
      </w:r>
      <w:r w:rsidR="0030352E">
        <w:rPr>
          <w:rFonts w:ascii="Arial" w:hAnsi="Arial" w:cs="Arial"/>
          <w:sz w:val="24"/>
          <w:szCs w:val="24"/>
        </w:rPr>
        <w:t xml:space="preserve"> realizar</w:t>
      </w:r>
      <w:r>
        <w:rPr>
          <w:rFonts w:ascii="Arial" w:hAnsi="Arial" w:cs="Arial"/>
          <w:sz w:val="24"/>
          <w:szCs w:val="24"/>
        </w:rPr>
        <w:t xml:space="preserve"> compara</w:t>
      </w:r>
      <w:r w:rsidR="0030352E">
        <w:rPr>
          <w:rFonts w:ascii="Arial" w:hAnsi="Arial" w:cs="Arial"/>
          <w:sz w:val="24"/>
          <w:szCs w:val="24"/>
        </w:rPr>
        <w:t>ciones</w:t>
      </w:r>
      <w:r>
        <w:rPr>
          <w:rFonts w:ascii="Arial" w:hAnsi="Arial" w:cs="Arial"/>
          <w:sz w:val="24"/>
          <w:szCs w:val="24"/>
        </w:rPr>
        <w:t xml:space="preserve"> (“</w:t>
      </w:r>
      <w:r w:rsidR="00256CE5">
        <w:rPr>
          <w:rFonts w:ascii="Arial" w:hAnsi="Arial" w:cs="Arial"/>
          <w:sz w:val="24"/>
          <w:szCs w:val="24"/>
        </w:rPr>
        <w:t>e</w:t>
      </w:r>
      <w:r>
        <w:rPr>
          <w:rFonts w:ascii="Arial" w:hAnsi="Arial" w:cs="Arial"/>
          <w:sz w:val="24"/>
          <w:szCs w:val="24"/>
        </w:rPr>
        <w:t>n dichas comparaciones no es necesario prestar mucha atención a la fecha histórica o al lugar ocupado en el mapa” (Tylor, 1871</w:t>
      </w:r>
      <w:r w:rsidR="00F830EF">
        <w:rPr>
          <w:rFonts w:ascii="Arial" w:hAnsi="Arial" w:cs="Arial"/>
          <w:sz w:val="24"/>
          <w:szCs w:val="24"/>
        </w:rPr>
        <w:t>: 23</w:t>
      </w:r>
      <w:r w:rsidR="0030352E">
        <w:rPr>
          <w:rFonts w:ascii="Arial" w:hAnsi="Arial" w:cs="Arial"/>
          <w:sz w:val="24"/>
          <w:szCs w:val="24"/>
        </w:rPr>
        <w:t xml:space="preserve">), </w:t>
      </w:r>
      <w:r w:rsidR="00154429">
        <w:rPr>
          <w:rFonts w:ascii="Arial" w:hAnsi="Arial" w:cs="Arial"/>
          <w:sz w:val="24"/>
          <w:szCs w:val="24"/>
        </w:rPr>
        <w:t xml:space="preserve">efectuar un riguroso trabajo de clasificación de los elementos culturales y </w:t>
      </w:r>
      <w:r w:rsidR="00E57914">
        <w:rPr>
          <w:rFonts w:ascii="Arial" w:hAnsi="Arial" w:cs="Arial"/>
          <w:sz w:val="24"/>
          <w:szCs w:val="24"/>
        </w:rPr>
        <w:t>de búsqueda de nexos entre los mismos,</w:t>
      </w:r>
      <w:r w:rsidR="00154429">
        <w:rPr>
          <w:rFonts w:ascii="Arial" w:hAnsi="Arial" w:cs="Arial"/>
          <w:sz w:val="24"/>
          <w:szCs w:val="24"/>
        </w:rPr>
        <w:t xml:space="preserve"> estableciendo series progresivas</w:t>
      </w:r>
      <w:r w:rsidR="003B1A77">
        <w:rPr>
          <w:rFonts w:ascii="Arial" w:hAnsi="Arial" w:cs="Arial"/>
          <w:sz w:val="24"/>
          <w:szCs w:val="24"/>
        </w:rPr>
        <w:t xml:space="preserve"> de artes, instituciones e inventos</w:t>
      </w:r>
      <w:r w:rsidR="00154429">
        <w:rPr>
          <w:rFonts w:ascii="Arial" w:hAnsi="Arial" w:cs="Arial"/>
          <w:sz w:val="24"/>
          <w:szCs w:val="24"/>
        </w:rPr>
        <w:t>.</w:t>
      </w:r>
    </w:p>
    <w:p w14:paraId="3E59289E" w14:textId="77777777" w:rsidR="00F830EF" w:rsidRDefault="00F830EF" w:rsidP="00E3024C">
      <w:pPr>
        <w:spacing w:after="0" w:line="360" w:lineRule="auto"/>
        <w:ind w:firstLine="708"/>
        <w:jc w:val="both"/>
        <w:rPr>
          <w:rFonts w:ascii="Arial" w:hAnsi="Arial" w:cs="Arial"/>
          <w:sz w:val="24"/>
          <w:szCs w:val="24"/>
        </w:rPr>
      </w:pPr>
    </w:p>
    <w:p w14:paraId="5F6E8311" w14:textId="16D9C868" w:rsidR="00D82230" w:rsidRDefault="00D82230" w:rsidP="00461072">
      <w:pPr>
        <w:shd w:val="clear" w:color="auto" w:fill="FFF2CC" w:themeFill="accent4" w:themeFillTint="33"/>
        <w:spacing w:after="0" w:line="360" w:lineRule="auto"/>
        <w:ind w:left="708" w:firstLine="708"/>
        <w:jc w:val="both"/>
        <w:rPr>
          <w:rFonts w:ascii="Arial" w:hAnsi="Arial" w:cs="Arial"/>
          <w:sz w:val="24"/>
          <w:szCs w:val="24"/>
        </w:rPr>
      </w:pPr>
      <w:r>
        <w:rPr>
          <w:rFonts w:ascii="Arial" w:hAnsi="Arial" w:cs="Arial"/>
          <w:sz w:val="24"/>
          <w:szCs w:val="24"/>
        </w:rPr>
        <w:t xml:space="preserve">El método comparativo “se basa en lo que para él es un hecho muy evidente: que las instituciones humanas de todo el mundo exhiben notables semejanzas. Fenómenos culturales como los implementos de piedra, la fabricación de cestería y las prácticas culinarias difieren, apenas, en detalles de una sociedad a otra y de un continente al otro. (…) </w:t>
      </w:r>
      <w:r w:rsidR="000B1C8F">
        <w:rPr>
          <w:rFonts w:ascii="Arial" w:hAnsi="Arial" w:cs="Arial"/>
          <w:sz w:val="24"/>
          <w:szCs w:val="24"/>
        </w:rPr>
        <w:t>E</w:t>
      </w:r>
      <w:r>
        <w:rPr>
          <w:rFonts w:ascii="Arial" w:hAnsi="Arial" w:cs="Arial"/>
          <w:sz w:val="24"/>
          <w:szCs w:val="24"/>
        </w:rPr>
        <w:t>n todo el mundo pueden recogerse creencias</w:t>
      </w:r>
      <w:r w:rsidR="000B1C8F">
        <w:rPr>
          <w:rFonts w:ascii="Arial" w:hAnsi="Arial" w:cs="Arial"/>
          <w:sz w:val="24"/>
          <w:szCs w:val="24"/>
        </w:rPr>
        <w:t>, prácticas</w:t>
      </w:r>
      <w:r>
        <w:rPr>
          <w:rFonts w:ascii="Arial" w:hAnsi="Arial" w:cs="Arial"/>
          <w:sz w:val="24"/>
          <w:szCs w:val="24"/>
        </w:rPr>
        <w:t xml:space="preserve"> e implementos similares, y es posible organizarlos de acuerdo con esquemas</w:t>
      </w:r>
      <w:r w:rsidR="000B1C8F">
        <w:rPr>
          <w:rFonts w:ascii="Arial" w:hAnsi="Arial" w:cs="Arial"/>
          <w:sz w:val="24"/>
          <w:szCs w:val="24"/>
        </w:rPr>
        <w:t xml:space="preserve"> integrales de clasificación. Las armas pueden dividirse en categorías como la lanza, el garrote, la honda, el arco y la flecha, y otras semejantes. Los mitos pueden dividirse en categorías: mitos del amanecer, mitos del ocaso, mitos de los terremotos, etc. Una vez clasificados de este modo, los datos de cada categoría se disponen de manera que revelen pautas de progresión o desarrollo evolutivo. Por ejemplo, cuando estudia las armas de fuego, el investigador comienza con las formas iniciales y toscas, por </w:t>
      </w:r>
      <w:r w:rsidR="000B1C8F">
        <w:rPr>
          <w:rFonts w:ascii="Arial" w:hAnsi="Arial" w:cs="Arial"/>
          <w:sz w:val="24"/>
          <w:szCs w:val="24"/>
        </w:rPr>
        <w:lastRenderedPageBreak/>
        <w:t>ejemplo</w:t>
      </w:r>
      <w:r w:rsidR="00003626">
        <w:rPr>
          <w:rFonts w:ascii="Arial" w:hAnsi="Arial" w:cs="Arial"/>
          <w:sz w:val="24"/>
          <w:szCs w:val="24"/>
        </w:rPr>
        <w:t>,</w:t>
      </w:r>
      <w:r w:rsidR="000B1C8F">
        <w:rPr>
          <w:rFonts w:ascii="Arial" w:hAnsi="Arial" w:cs="Arial"/>
          <w:sz w:val="24"/>
          <w:szCs w:val="24"/>
        </w:rPr>
        <w:t xml:space="preserve"> el fusil de pedernal, y luego pasa a los modelos más modernos y perfeccionados. </w:t>
      </w:r>
      <w:r w:rsidR="00461072">
        <w:rPr>
          <w:rFonts w:ascii="Arial" w:hAnsi="Arial" w:cs="Arial"/>
          <w:sz w:val="24"/>
          <w:szCs w:val="24"/>
        </w:rPr>
        <w:t>De este modo se revela la dirección seguida por la evolución.” (Hatch, 1975:30-31).</w:t>
      </w:r>
    </w:p>
    <w:p w14:paraId="7ADDAD44" w14:textId="0239DD9F" w:rsidR="00D82230" w:rsidRDefault="00D82230" w:rsidP="00E3024C">
      <w:pPr>
        <w:spacing w:after="0" w:line="360" w:lineRule="auto"/>
        <w:ind w:firstLine="708"/>
        <w:jc w:val="both"/>
        <w:rPr>
          <w:rFonts w:ascii="Arial" w:hAnsi="Arial" w:cs="Arial"/>
          <w:sz w:val="24"/>
          <w:szCs w:val="24"/>
        </w:rPr>
      </w:pPr>
    </w:p>
    <w:p w14:paraId="00F7D1F7" w14:textId="4CA850E3" w:rsidR="001C6410" w:rsidRDefault="00E25616" w:rsidP="00E3024C">
      <w:pPr>
        <w:spacing w:after="0" w:line="360" w:lineRule="auto"/>
        <w:ind w:firstLine="708"/>
        <w:jc w:val="both"/>
        <w:rPr>
          <w:rFonts w:ascii="Arial" w:hAnsi="Arial" w:cs="Arial"/>
          <w:sz w:val="24"/>
          <w:szCs w:val="24"/>
        </w:rPr>
      </w:pPr>
      <w:r>
        <w:rPr>
          <w:rFonts w:ascii="Arial" w:hAnsi="Arial" w:cs="Arial"/>
          <w:sz w:val="24"/>
          <w:szCs w:val="24"/>
        </w:rPr>
        <w:t>Debemos destacar que la</w:t>
      </w:r>
      <w:r w:rsidR="001C6410">
        <w:rPr>
          <w:rFonts w:ascii="Arial" w:hAnsi="Arial" w:cs="Arial"/>
          <w:sz w:val="24"/>
          <w:szCs w:val="24"/>
        </w:rPr>
        <w:t xml:space="preserve"> construcción de las secuencias progresivas</w:t>
      </w:r>
      <w:r w:rsidR="0099549D">
        <w:rPr>
          <w:rFonts w:ascii="Arial" w:hAnsi="Arial" w:cs="Arial"/>
          <w:sz w:val="24"/>
          <w:szCs w:val="24"/>
        </w:rPr>
        <w:t xml:space="preserve"> de inventos e instituciones se basa en una operación lógica, deductiva, “cuyo supuesto implícito es el de que las formas más simples son las más antiguas” (Harris, 1969:130).</w:t>
      </w:r>
      <w:r>
        <w:rPr>
          <w:rFonts w:ascii="Arial" w:hAnsi="Arial" w:cs="Arial"/>
          <w:sz w:val="24"/>
          <w:szCs w:val="24"/>
        </w:rPr>
        <w:t xml:space="preserve"> “Quien compare un arco y una ballesta no dudará de que la ballesta fue un desarrollo originado en el instrumento más sencillo” (Tylor, 1871: 15). </w:t>
      </w:r>
      <w:r w:rsidR="00256CE5">
        <w:rPr>
          <w:rFonts w:ascii="Arial" w:hAnsi="Arial" w:cs="Arial"/>
          <w:sz w:val="24"/>
          <w:szCs w:val="24"/>
        </w:rPr>
        <w:t>Hatch (1975) señala que e</w:t>
      </w:r>
      <w:r>
        <w:rPr>
          <w:rFonts w:ascii="Arial" w:hAnsi="Arial" w:cs="Arial"/>
          <w:sz w:val="24"/>
          <w:szCs w:val="24"/>
        </w:rPr>
        <w:t xml:space="preserve">ste razonamiento es fácilmente aplicable a las invenciones técnicas, cuya evolución constituye la acumulación lineal de invenciones, pero </w:t>
      </w:r>
      <w:r w:rsidR="00A4128C">
        <w:rPr>
          <w:rFonts w:ascii="Arial" w:hAnsi="Arial" w:cs="Arial"/>
          <w:sz w:val="24"/>
          <w:szCs w:val="24"/>
        </w:rPr>
        <w:t xml:space="preserve">en su aplicación a otros niveles de fenómenos, la estrategia del método comparativo </w:t>
      </w:r>
      <w:r w:rsidR="00256CE5">
        <w:rPr>
          <w:rFonts w:ascii="Arial" w:hAnsi="Arial" w:cs="Arial"/>
          <w:sz w:val="24"/>
          <w:szCs w:val="24"/>
        </w:rPr>
        <w:t>se complica.</w:t>
      </w:r>
    </w:p>
    <w:p w14:paraId="3C8AAA3A" w14:textId="10A5CB34" w:rsidR="001C6410" w:rsidRDefault="005574F6" w:rsidP="00E3024C">
      <w:pPr>
        <w:spacing w:after="0" w:line="360" w:lineRule="auto"/>
        <w:ind w:firstLine="708"/>
        <w:jc w:val="both"/>
        <w:rPr>
          <w:rFonts w:ascii="Arial" w:hAnsi="Arial" w:cs="Arial"/>
          <w:sz w:val="24"/>
          <w:szCs w:val="24"/>
        </w:rPr>
      </w:pPr>
      <w:r>
        <w:rPr>
          <w:rFonts w:ascii="Arial" w:hAnsi="Arial" w:cs="Arial"/>
          <w:sz w:val="24"/>
          <w:szCs w:val="24"/>
        </w:rPr>
        <w:t>A través de</w:t>
      </w:r>
      <w:r w:rsidR="0010421E">
        <w:rPr>
          <w:rFonts w:ascii="Arial" w:hAnsi="Arial" w:cs="Arial"/>
          <w:sz w:val="24"/>
          <w:szCs w:val="24"/>
        </w:rPr>
        <w:t xml:space="preserve"> este</w:t>
      </w:r>
      <w:r>
        <w:rPr>
          <w:rFonts w:ascii="Arial" w:hAnsi="Arial" w:cs="Arial"/>
          <w:sz w:val="24"/>
          <w:szCs w:val="24"/>
        </w:rPr>
        <w:t xml:space="preserve"> método, los datos de los pueblos primitivos contemporáneos, servirán de base para estimar cómo habrá sido la vida de culturas desaparecidas.</w:t>
      </w:r>
      <w:r w:rsidR="00310C9A">
        <w:rPr>
          <w:rFonts w:ascii="Arial" w:hAnsi="Arial" w:cs="Arial"/>
          <w:sz w:val="24"/>
          <w:szCs w:val="24"/>
        </w:rPr>
        <w:t xml:space="preserve"> </w:t>
      </w:r>
      <w:r w:rsidR="0010421E">
        <w:rPr>
          <w:rFonts w:ascii="Arial" w:hAnsi="Arial" w:cs="Arial"/>
          <w:sz w:val="24"/>
          <w:szCs w:val="24"/>
        </w:rPr>
        <w:t>Tal c</w:t>
      </w:r>
      <w:r w:rsidR="001C6410">
        <w:rPr>
          <w:rFonts w:ascii="Arial" w:hAnsi="Arial" w:cs="Arial"/>
          <w:sz w:val="24"/>
          <w:szCs w:val="24"/>
        </w:rPr>
        <w:t>omo hemos visto, el origen del método comparativo se sitúa en el siglo XVIII. Harris señala que la idea misma es parte integrante de la noción de “progreso”, ya que ¿cómo podría hablarse de progreso si no hubiera alguna línea de base para la comparación? (Ha</w:t>
      </w:r>
      <w:r w:rsidR="00256CE5">
        <w:rPr>
          <w:rFonts w:ascii="Arial" w:hAnsi="Arial" w:cs="Arial"/>
          <w:sz w:val="24"/>
          <w:szCs w:val="24"/>
        </w:rPr>
        <w:t>r</w:t>
      </w:r>
      <w:r w:rsidR="001C6410">
        <w:rPr>
          <w:rFonts w:ascii="Arial" w:hAnsi="Arial" w:cs="Arial"/>
          <w:sz w:val="24"/>
          <w:szCs w:val="24"/>
        </w:rPr>
        <w:t>ris, 1968: 131).</w:t>
      </w:r>
    </w:p>
    <w:p w14:paraId="3688CF4C" w14:textId="62E3DFFB" w:rsidR="00310C9A" w:rsidRDefault="00310C9A" w:rsidP="00E3024C">
      <w:pPr>
        <w:spacing w:after="0" w:line="360" w:lineRule="auto"/>
        <w:ind w:firstLine="708"/>
        <w:jc w:val="both"/>
        <w:rPr>
          <w:rFonts w:ascii="Arial" w:hAnsi="Arial" w:cs="Arial"/>
          <w:sz w:val="24"/>
          <w:szCs w:val="24"/>
        </w:rPr>
      </w:pPr>
      <w:r>
        <w:rPr>
          <w:rFonts w:ascii="Arial" w:hAnsi="Arial" w:cs="Arial"/>
          <w:sz w:val="24"/>
          <w:szCs w:val="24"/>
        </w:rPr>
        <w:t xml:space="preserve">A su vez, Tylor dio gran importancia a la </w:t>
      </w:r>
      <w:r w:rsidRPr="00310C9A">
        <w:rPr>
          <w:rFonts w:ascii="Arial" w:hAnsi="Arial" w:cs="Arial"/>
          <w:sz w:val="24"/>
          <w:szCs w:val="24"/>
          <w:u w:val="single"/>
        </w:rPr>
        <w:t>estadística</w:t>
      </w:r>
      <w:r>
        <w:rPr>
          <w:rFonts w:ascii="Arial" w:hAnsi="Arial" w:cs="Arial"/>
          <w:sz w:val="24"/>
          <w:szCs w:val="24"/>
        </w:rPr>
        <w:t xml:space="preserve"> para extraer grandes principios o leyes. En su estudio sobre las l</w:t>
      </w:r>
      <w:r w:rsidR="00BA03CD">
        <w:rPr>
          <w:rFonts w:ascii="Arial" w:hAnsi="Arial" w:cs="Arial"/>
          <w:sz w:val="24"/>
          <w:szCs w:val="24"/>
        </w:rPr>
        <w:t>eyes d</w:t>
      </w:r>
      <w:r>
        <w:rPr>
          <w:rFonts w:ascii="Arial" w:hAnsi="Arial" w:cs="Arial"/>
          <w:sz w:val="24"/>
          <w:szCs w:val="24"/>
        </w:rPr>
        <w:t>el matrimonio y la descendencia adoptó el método comparativo de base estadística, usando una muestra de entre 300 y 400 sociedades</w:t>
      </w:r>
      <w:r w:rsidR="00BA03CD">
        <w:rPr>
          <w:rFonts w:ascii="Arial" w:hAnsi="Arial" w:cs="Arial"/>
          <w:sz w:val="24"/>
          <w:szCs w:val="24"/>
        </w:rPr>
        <w:t>, calculando porcentajes y probabilidades, lo que le valió ser considerado como el fundador de la moderna perspectiva comparativa estadística. (Harris, 1968).</w:t>
      </w:r>
    </w:p>
    <w:p w14:paraId="61BE0560" w14:textId="65254EE0" w:rsidR="001C6410" w:rsidRDefault="00DC0952" w:rsidP="00E3024C">
      <w:pPr>
        <w:spacing w:after="0" w:line="360" w:lineRule="auto"/>
        <w:ind w:firstLine="708"/>
        <w:jc w:val="both"/>
        <w:rPr>
          <w:rFonts w:ascii="Arial" w:hAnsi="Arial" w:cs="Arial"/>
          <w:sz w:val="24"/>
          <w:szCs w:val="24"/>
        </w:rPr>
      </w:pPr>
      <w:r w:rsidRPr="00DC0952">
        <w:rPr>
          <w:rFonts w:ascii="Arial" w:hAnsi="Arial" w:cs="Arial"/>
          <w:sz w:val="24"/>
          <w:szCs w:val="24"/>
          <w:u w:val="single"/>
        </w:rPr>
        <w:t>El análisis de las supervivencias</w:t>
      </w:r>
      <w:r>
        <w:rPr>
          <w:rFonts w:ascii="Arial" w:hAnsi="Arial" w:cs="Arial"/>
          <w:sz w:val="24"/>
          <w:szCs w:val="24"/>
        </w:rPr>
        <w:t xml:space="preserve">: </w:t>
      </w:r>
      <w:r w:rsidR="002B67DB">
        <w:rPr>
          <w:rFonts w:ascii="Arial" w:hAnsi="Arial" w:cs="Arial"/>
          <w:sz w:val="24"/>
          <w:szCs w:val="24"/>
        </w:rPr>
        <w:t xml:space="preserve">El </w:t>
      </w:r>
      <w:r>
        <w:rPr>
          <w:rFonts w:ascii="Arial" w:hAnsi="Arial" w:cs="Arial"/>
          <w:sz w:val="24"/>
          <w:szCs w:val="24"/>
        </w:rPr>
        <w:t xml:space="preserve">segundo método se basa en el concepto de supervivencias (survivals), que Tylor empleó por primera vez en </w:t>
      </w:r>
      <w:r w:rsidRPr="00DC0952">
        <w:rPr>
          <w:rFonts w:ascii="Arial" w:hAnsi="Arial" w:cs="Arial"/>
          <w:i/>
          <w:iCs/>
          <w:sz w:val="24"/>
          <w:szCs w:val="24"/>
        </w:rPr>
        <w:t>Cultura Primitiva</w:t>
      </w:r>
      <w:r>
        <w:rPr>
          <w:rFonts w:ascii="Arial" w:hAnsi="Arial" w:cs="Arial"/>
          <w:sz w:val="24"/>
          <w:szCs w:val="24"/>
        </w:rPr>
        <w:t xml:space="preserve"> (1971) en donde les asigna un enorme valor para rastrear las secuencias evolutivas. Las supervivencias son valiosas porque permiten reconstruir la historia general de las instituciones.</w:t>
      </w:r>
      <w:r w:rsidR="001969F4">
        <w:rPr>
          <w:rFonts w:ascii="Arial" w:hAnsi="Arial" w:cs="Arial"/>
          <w:sz w:val="24"/>
          <w:szCs w:val="24"/>
        </w:rPr>
        <w:t xml:space="preserve"> También Morgan, Maine y Mc. Lennan utilizaron las supervivencias para reconstruir instituciones precedentes.</w:t>
      </w:r>
    </w:p>
    <w:p w14:paraId="0F73EEFC" w14:textId="77777777" w:rsidR="00DC0952" w:rsidRDefault="00DC0952" w:rsidP="00E3024C">
      <w:pPr>
        <w:spacing w:after="0" w:line="360" w:lineRule="auto"/>
        <w:ind w:firstLine="708"/>
        <w:jc w:val="both"/>
        <w:rPr>
          <w:rFonts w:ascii="Arial" w:hAnsi="Arial" w:cs="Arial"/>
          <w:sz w:val="24"/>
          <w:szCs w:val="24"/>
        </w:rPr>
      </w:pPr>
    </w:p>
    <w:p w14:paraId="67CE0C93" w14:textId="55665567" w:rsidR="00DC0952" w:rsidRDefault="00DC0952" w:rsidP="00924F7B">
      <w:pPr>
        <w:shd w:val="clear" w:color="auto" w:fill="FFF2CC" w:themeFill="accent4" w:themeFillTint="33"/>
        <w:spacing w:after="0" w:line="360" w:lineRule="auto"/>
        <w:ind w:left="708" w:firstLine="708"/>
        <w:jc w:val="both"/>
        <w:rPr>
          <w:rFonts w:ascii="Arial" w:hAnsi="Arial" w:cs="Arial"/>
          <w:sz w:val="24"/>
          <w:szCs w:val="24"/>
        </w:rPr>
      </w:pPr>
      <w:r>
        <w:rPr>
          <w:rFonts w:ascii="Arial" w:hAnsi="Arial" w:cs="Arial"/>
          <w:sz w:val="24"/>
          <w:szCs w:val="24"/>
        </w:rPr>
        <w:lastRenderedPageBreak/>
        <w:t xml:space="preserve">“La esencia del concepto de </w:t>
      </w:r>
      <w:r w:rsidRPr="00DC0952">
        <w:rPr>
          <w:rFonts w:ascii="Arial" w:hAnsi="Arial" w:cs="Arial"/>
          <w:i/>
          <w:iCs/>
          <w:sz w:val="24"/>
          <w:szCs w:val="24"/>
        </w:rPr>
        <w:t>survivals</w:t>
      </w:r>
      <w:r>
        <w:rPr>
          <w:rFonts w:ascii="Arial" w:hAnsi="Arial" w:cs="Arial"/>
          <w:sz w:val="24"/>
          <w:szCs w:val="24"/>
        </w:rPr>
        <w:t xml:space="preserve"> es que fenómenos que tuvieron su origen en un conjunto de condiciones causales de una época anterior, se perpetúan en un período en el que ya han dejado de darse las condiciones originales” (Harris, 1969:141)</w:t>
      </w:r>
      <w:r w:rsidR="00924F7B">
        <w:rPr>
          <w:rFonts w:ascii="Arial" w:hAnsi="Arial" w:cs="Arial"/>
          <w:sz w:val="24"/>
          <w:szCs w:val="24"/>
        </w:rPr>
        <w:t>.</w:t>
      </w:r>
    </w:p>
    <w:p w14:paraId="521D99F4" w14:textId="77777777" w:rsidR="00924F7B" w:rsidRDefault="00924F7B" w:rsidP="00DC0952">
      <w:pPr>
        <w:spacing w:after="0" w:line="360" w:lineRule="auto"/>
        <w:ind w:left="708" w:firstLine="708"/>
        <w:jc w:val="both"/>
        <w:rPr>
          <w:rFonts w:ascii="Arial" w:hAnsi="Arial" w:cs="Arial"/>
          <w:sz w:val="24"/>
          <w:szCs w:val="24"/>
        </w:rPr>
      </w:pPr>
    </w:p>
    <w:p w14:paraId="1933E794" w14:textId="163592D4" w:rsidR="00D82230" w:rsidRDefault="00003626" w:rsidP="00A5553F">
      <w:pPr>
        <w:shd w:val="clear" w:color="auto" w:fill="FFF2CC" w:themeFill="accent4" w:themeFillTint="33"/>
        <w:spacing w:after="0" w:line="360" w:lineRule="auto"/>
        <w:ind w:left="708" w:firstLine="708"/>
        <w:jc w:val="both"/>
        <w:rPr>
          <w:rFonts w:ascii="Arial" w:hAnsi="Arial" w:cs="Arial"/>
          <w:sz w:val="24"/>
          <w:szCs w:val="24"/>
        </w:rPr>
      </w:pPr>
      <w:r>
        <w:rPr>
          <w:rFonts w:ascii="Arial" w:hAnsi="Arial" w:cs="Arial"/>
          <w:sz w:val="24"/>
          <w:szCs w:val="24"/>
        </w:rPr>
        <w:t>El análisis de restos o supervivencias “constituye una técnica para determinar las secuencias de desarrollo mediante los residuos de instituciones antiguas que perduran en pueblos actuales. En todas las sociedades han sobrevivido antiguas pautas de pensamiento y conducta más allá de las condiciones que las originaron, y las mismas sirven “como prueba y ejemplo” de una etapa anterior de desarrollo (…)” (Hatch, 1975:30).</w:t>
      </w:r>
    </w:p>
    <w:p w14:paraId="1933CF88" w14:textId="77777777" w:rsidR="00D82230" w:rsidRDefault="00D82230" w:rsidP="00E3024C">
      <w:pPr>
        <w:spacing w:after="0" w:line="360" w:lineRule="auto"/>
        <w:ind w:firstLine="708"/>
        <w:jc w:val="both"/>
        <w:rPr>
          <w:rFonts w:ascii="Arial" w:hAnsi="Arial" w:cs="Arial"/>
          <w:sz w:val="24"/>
          <w:szCs w:val="24"/>
        </w:rPr>
      </w:pPr>
    </w:p>
    <w:p w14:paraId="297B0C58" w14:textId="5C065C67" w:rsidR="00CB33EB" w:rsidRDefault="00B73EEA" w:rsidP="00CB33EB">
      <w:pPr>
        <w:spacing w:after="0" w:line="360" w:lineRule="auto"/>
        <w:ind w:firstLine="708"/>
        <w:jc w:val="both"/>
        <w:rPr>
          <w:rFonts w:ascii="Arial" w:hAnsi="Arial" w:cs="Arial"/>
          <w:sz w:val="24"/>
          <w:szCs w:val="24"/>
        </w:rPr>
      </w:pPr>
      <w:r>
        <w:rPr>
          <w:rFonts w:ascii="Arial" w:hAnsi="Arial" w:cs="Arial"/>
          <w:sz w:val="24"/>
          <w:szCs w:val="24"/>
        </w:rPr>
        <w:t>La obra de Tylor está repleta de ejemplos de rasgos que</w:t>
      </w:r>
      <w:r w:rsidR="00924F7B">
        <w:rPr>
          <w:rFonts w:ascii="Arial" w:hAnsi="Arial" w:cs="Arial"/>
          <w:sz w:val="24"/>
          <w:szCs w:val="24"/>
        </w:rPr>
        <w:t>,</w:t>
      </w:r>
      <w:r>
        <w:rPr>
          <w:rFonts w:ascii="Arial" w:hAnsi="Arial" w:cs="Arial"/>
          <w:sz w:val="24"/>
          <w:szCs w:val="24"/>
        </w:rPr>
        <w:t xml:space="preserve"> al sobrevivir hasta el presente</w:t>
      </w:r>
      <w:r w:rsidR="00924F7B">
        <w:rPr>
          <w:rFonts w:ascii="Arial" w:hAnsi="Arial" w:cs="Arial"/>
          <w:sz w:val="24"/>
          <w:szCs w:val="24"/>
        </w:rPr>
        <w:t>,</w:t>
      </w:r>
      <w:r>
        <w:rPr>
          <w:rFonts w:ascii="Arial" w:hAnsi="Arial" w:cs="Arial"/>
          <w:sz w:val="24"/>
          <w:szCs w:val="24"/>
        </w:rPr>
        <w:t xml:space="preserve"> han perdido su función original -pasando en muchos casos a tener funciones recreativas, estéticas, etc.-</w:t>
      </w:r>
      <w:r w:rsidR="00924F7B">
        <w:rPr>
          <w:rFonts w:ascii="Arial" w:hAnsi="Arial" w:cs="Arial"/>
          <w:sz w:val="24"/>
          <w:szCs w:val="24"/>
        </w:rPr>
        <w:t xml:space="preserve"> </w:t>
      </w:r>
      <w:r>
        <w:rPr>
          <w:rFonts w:ascii="Arial" w:hAnsi="Arial" w:cs="Arial"/>
          <w:sz w:val="24"/>
          <w:szCs w:val="24"/>
        </w:rPr>
        <w:t>pero</w:t>
      </w:r>
      <w:r w:rsidR="00CB33EB">
        <w:rPr>
          <w:rFonts w:ascii="Arial" w:hAnsi="Arial" w:cs="Arial"/>
          <w:sz w:val="24"/>
          <w:szCs w:val="24"/>
        </w:rPr>
        <w:t xml:space="preserve"> sirven para atestiguar</w:t>
      </w:r>
      <w:r w:rsidR="00F81E2B">
        <w:rPr>
          <w:rFonts w:ascii="Arial" w:hAnsi="Arial" w:cs="Arial"/>
          <w:sz w:val="24"/>
          <w:szCs w:val="24"/>
        </w:rPr>
        <w:t xml:space="preserve">, </w:t>
      </w:r>
      <w:r>
        <w:rPr>
          <w:rFonts w:ascii="Arial" w:hAnsi="Arial" w:cs="Arial"/>
          <w:sz w:val="24"/>
          <w:szCs w:val="24"/>
        </w:rPr>
        <w:t>a modo de “huellas”</w:t>
      </w:r>
      <w:r w:rsidR="00CB33EB">
        <w:rPr>
          <w:rFonts w:ascii="Arial" w:hAnsi="Arial" w:cs="Arial"/>
          <w:sz w:val="24"/>
          <w:szCs w:val="24"/>
        </w:rPr>
        <w:t>,</w:t>
      </w:r>
      <w:r>
        <w:rPr>
          <w:rFonts w:ascii="Arial" w:hAnsi="Arial" w:cs="Arial"/>
          <w:sz w:val="24"/>
          <w:szCs w:val="24"/>
        </w:rPr>
        <w:t xml:space="preserve"> los pasos/estadios anteriores de la cultura y facilita</w:t>
      </w:r>
      <w:r w:rsidR="0010421E">
        <w:rPr>
          <w:rFonts w:ascii="Arial" w:hAnsi="Arial" w:cs="Arial"/>
          <w:sz w:val="24"/>
          <w:szCs w:val="24"/>
        </w:rPr>
        <w:t>r</w:t>
      </w:r>
      <w:r>
        <w:rPr>
          <w:rFonts w:ascii="Arial" w:hAnsi="Arial" w:cs="Arial"/>
          <w:sz w:val="24"/>
          <w:szCs w:val="24"/>
        </w:rPr>
        <w:t xml:space="preserve"> su reconstrucción</w:t>
      </w:r>
    </w:p>
    <w:p w14:paraId="45120122" w14:textId="4F5F67E9" w:rsidR="00E3024C" w:rsidRPr="00CB33EB" w:rsidRDefault="00CB33EB" w:rsidP="00CB33EB">
      <w:pPr>
        <w:spacing w:after="0" w:line="360" w:lineRule="auto"/>
        <w:ind w:firstLine="708"/>
        <w:jc w:val="both"/>
        <w:rPr>
          <w:rFonts w:ascii="Arial" w:hAnsi="Arial" w:cs="Arial"/>
          <w:sz w:val="24"/>
          <w:szCs w:val="24"/>
        </w:rPr>
      </w:pPr>
      <w:r w:rsidRPr="00CB33EB">
        <w:rPr>
          <w:rFonts w:ascii="Arial" w:hAnsi="Arial" w:cs="Arial"/>
          <w:sz w:val="24"/>
          <w:szCs w:val="24"/>
        </w:rPr>
        <w:t>Tylor</w:t>
      </w:r>
      <w:r w:rsidR="009E1015" w:rsidRPr="009E1015">
        <w:rPr>
          <w:rFonts w:ascii="Arial" w:hAnsi="Arial" w:cs="Arial"/>
          <w:sz w:val="24"/>
          <w:szCs w:val="24"/>
        </w:rPr>
        <w:t xml:space="preserve"> </w:t>
      </w:r>
      <w:r w:rsidR="009E1015" w:rsidRPr="00CB33EB">
        <w:rPr>
          <w:rFonts w:ascii="Arial" w:hAnsi="Arial" w:cs="Arial"/>
          <w:sz w:val="24"/>
          <w:szCs w:val="24"/>
        </w:rPr>
        <w:t>concibe que la Ciencia de la Cultura es una rama de las Ciencias Naturales</w:t>
      </w:r>
      <w:r w:rsidR="009E1015">
        <w:rPr>
          <w:rFonts w:ascii="Arial" w:hAnsi="Arial" w:cs="Arial"/>
          <w:sz w:val="24"/>
          <w:szCs w:val="24"/>
        </w:rPr>
        <w:t xml:space="preserve"> y</w:t>
      </w:r>
      <w:r w:rsidRPr="00CB33EB">
        <w:rPr>
          <w:rFonts w:ascii="Arial" w:hAnsi="Arial" w:cs="Arial"/>
          <w:sz w:val="24"/>
          <w:szCs w:val="24"/>
        </w:rPr>
        <w:t xml:space="preserve"> afirma que todas estas técnicas y </w:t>
      </w:r>
      <w:r w:rsidR="00256CE5">
        <w:rPr>
          <w:rFonts w:ascii="Arial" w:hAnsi="Arial" w:cs="Arial"/>
          <w:sz w:val="24"/>
          <w:szCs w:val="24"/>
        </w:rPr>
        <w:t>procedimientos</w:t>
      </w:r>
      <w:r w:rsidRPr="00CB33EB">
        <w:rPr>
          <w:rFonts w:ascii="Arial" w:hAnsi="Arial" w:cs="Arial"/>
          <w:sz w:val="24"/>
          <w:szCs w:val="24"/>
        </w:rPr>
        <w:t xml:space="preserve"> son estrictamente científic</w:t>
      </w:r>
      <w:r w:rsidR="00256CE5">
        <w:rPr>
          <w:rFonts w:ascii="Arial" w:hAnsi="Arial" w:cs="Arial"/>
          <w:sz w:val="24"/>
          <w:szCs w:val="24"/>
        </w:rPr>
        <w:t>o</w:t>
      </w:r>
      <w:r w:rsidRPr="00CB33EB">
        <w:rPr>
          <w:rFonts w:ascii="Arial" w:hAnsi="Arial" w:cs="Arial"/>
          <w:sz w:val="24"/>
          <w:szCs w:val="24"/>
        </w:rPr>
        <w:t>s basad</w:t>
      </w:r>
      <w:r w:rsidR="00F67EF6">
        <w:rPr>
          <w:rFonts w:ascii="Arial" w:hAnsi="Arial" w:cs="Arial"/>
          <w:sz w:val="24"/>
          <w:szCs w:val="24"/>
        </w:rPr>
        <w:t>o</w:t>
      </w:r>
      <w:r w:rsidRPr="00CB33EB">
        <w:rPr>
          <w:rFonts w:ascii="Arial" w:hAnsi="Arial" w:cs="Arial"/>
          <w:sz w:val="24"/>
          <w:szCs w:val="24"/>
        </w:rPr>
        <w:t xml:space="preserve">s en los métodos de las Ciencias Naturales. </w:t>
      </w:r>
    </w:p>
    <w:p w14:paraId="448BFC2E" w14:textId="03FD4787" w:rsidR="00EB2E89" w:rsidRDefault="00EB2E89"/>
    <w:p w14:paraId="26ADB1F4" w14:textId="44A04F04" w:rsidR="00F64B7B" w:rsidRPr="00336C82" w:rsidRDefault="003810DC">
      <w:pPr>
        <w:rPr>
          <w:rFonts w:ascii="Arial" w:hAnsi="Arial" w:cs="Arial"/>
        </w:rPr>
      </w:pPr>
      <w:r w:rsidRPr="00336C82">
        <w:rPr>
          <w:rFonts w:ascii="Arial" w:hAnsi="Arial" w:cs="Arial"/>
        </w:rPr>
        <w:t>Referencias bibliográficas:</w:t>
      </w:r>
    </w:p>
    <w:p w14:paraId="5AC0A151" w14:textId="08D39A2E" w:rsidR="00F64B7B" w:rsidRPr="003810DC" w:rsidRDefault="00F64B7B" w:rsidP="003810DC">
      <w:pPr>
        <w:spacing w:after="0" w:line="240" w:lineRule="auto"/>
        <w:rPr>
          <w:rFonts w:ascii="Arial" w:hAnsi="Arial" w:cs="Arial"/>
        </w:rPr>
      </w:pPr>
      <w:r w:rsidRPr="003810DC">
        <w:rPr>
          <w:rFonts w:ascii="Arial" w:hAnsi="Arial" w:cs="Arial"/>
        </w:rPr>
        <w:t>Cuché, Denys (2002</w:t>
      </w:r>
      <w:r w:rsidRPr="00455C58">
        <w:rPr>
          <w:rFonts w:ascii="Arial" w:hAnsi="Arial" w:cs="Arial"/>
          <w:i/>
          <w:iCs/>
        </w:rPr>
        <w:t>). La noción de cultura en las ciencias sociales</w:t>
      </w:r>
      <w:r w:rsidRPr="003810DC">
        <w:rPr>
          <w:rFonts w:ascii="Arial" w:hAnsi="Arial" w:cs="Arial"/>
        </w:rPr>
        <w:t>. Buenos Aires. Nueva Visión.</w:t>
      </w:r>
    </w:p>
    <w:p w14:paraId="53BEDF5C" w14:textId="77777777" w:rsidR="003810DC" w:rsidRPr="00B2425A" w:rsidRDefault="003810DC" w:rsidP="003810DC">
      <w:pPr>
        <w:spacing w:after="0" w:line="240" w:lineRule="auto"/>
        <w:ind w:left="709" w:hanging="709"/>
        <w:jc w:val="both"/>
        <w:rPr>
          <w:rFonts w:ascii="Arial" w:hAnsi="Arial" w:cs="Arial"/>
          <w:snapToGrid w:val="0"/>
        </w:rPr>
      </w:pPr>
      <w:r w:rsidRPr="00B2425A">
        <w:rPr>
          <w:rFonts w:ascii="Arial" w:hAnsi="Arial" w:cs="Arial"/>
          <w:snapToGrid w:val="0"/>
        </w:rPr>
        <w:t xml:space="preserve">Harris, Marvin (1968) </w:t>
      </w:r>
      <w:r w:rsidRPr="00B2425A">
        <w:rPr>
          <w:rFonts w:ascii="Arial" w:hAnsi="Arial" w:cs="Arial"/>
          <w:i/>
          <w:snapToGrid w:val="0"/>
        </w:rPr>
        <w:t>El desarrollo de la teoría antropológica. Historia de las teorías de la cultura</w:t>
      </w:r>
      <w:r w:rsidRPr="00B2425A">
        <w:rPr>
          <w:rFonts w:ascii="Arial" w:hAnsi="Arial" w:cs="Arial"/>
          <w:snapToGrid w:val="0"/>
        </w:rPr>
        <w:t>, Madrid, Siglo veintiuno editores.</w:t>
      </w:r>
    </w:p>
    <w:p w14:paraId="5C8BA3B6" w14:textId="77777777" w:rsidR="003810DC" w:rsidRDefault="003810DC" w:rsidP="003810DC">
      <w:pPr>
        <w:spacing w:after="0" w:line="240" w:lineRule="auto"/>
        <w:ind w:left="709" w:hanging="709"/>
        <w:jc w:val="both"/>
        <w:rPr>
          <w:rFonts w:ascii="Arial" w:hAnsi="Arial" w:cs="Arial"/>
          <w:snapToGrid w:val="0"/>
        </w:rPr>
      </w:pPr>
      <w:r w:rsidRPr="00600D7A">
        <w:rPr>
          <w:rFonts w:ascii="Arial" w:hAnsi="Arial" w:cs="Arial"/>
          <w:snapToGrid w:val="0"/>
        </w:rPr>
        <w:t>H</w:t>
      </w:r>
      <w:r>
        <w:rPr>
          <w:rFonts w:ascii="Arial" w:hAnsi="Arial" w:cs="Arial"/>
          <w:snapToGrid w:val="0"/>
        </w:rPr>
        <w:t>atch</w:t>
      </w:r>
      <w:r w:rsidRPr="00600D7A">
        <w:rPr>
          <w:rFonts w:ascii="Arial" w:hAnsi="Arial" w:cs="Arial"/>
          <w:snapToGrid w:val="0"/>
        </w:rPr>
        <w:t>, E</w:t>
      </w:r>
      <w:r>
        <w:rPr>
          <w:rFonts w:ascii="Arial" w:hAnsi="Arial" w:cs="Arial"/>
          <w:snapToGrid w:val="0"/>
        </w:rPr>
        <w:t xml:space="preserve">lvin </w:t>
      </w:r>
      <w:r w:rsidRPr="00600D7A">
        <w:rPr>
          <w:rFonts w:ascii="Arial" w:hAnsi="Arial" w:cs="Arial"/>
          <w:snapToGrid w:val="0"/>
        </w:rPr>
        <w:t xml:space="preserve">(1975) </w:t>
      </w:r>
      <w:r w:rsidRPr="00600D7A">
        <w:rPr>
          <w:rFonts w:ascii="Arial" w:hAnsi="Arial" w:cs="Arial"/>
          <w:i/>
          <w:snapToGrid w:val="0"/>
        </w:rPr>
        <w:t>Teorías del hombre y la cultura.</w:t>
      </w:r>
      <w:r w:rsidRPr="00600D7A">
        <w:rPr>
          <w:rFonts w:ascii="Arial" w:hAnsi="Arial" w:cs="Arial"/>
          <w:snapToGrid w:val="0"/>
        </w:rPr>
        <w:t xml:space="preserve"> Buenos Aires, Ed. Prolam.</w:t>
      </w:r>
    </w:p>
    <w:p w14:paraId="01172501" w14:textId="736F9BDA" w:rsidR="00DB72F6" w:rsidRPr="00600D7A" w:rsidRDefault="00DB72F6" w:rsidP="003810DC">
      <w:pPr>
        <w:spacing w:after="0" w:line="240" w:lineRule="auto"/>
        <w:ind w:left="709" w:hanging="709"/>
        <w:jc w:val="both"/>
        <w:rPr>
          <w:rFonts w:ascii="Arial" w:hAnsi="Arial" w:cs="Arial"/>
          <w:u w:val="single"/>
        </w:rPr>
      </w:pPr>
      <w:r>
        <w:rPr>
          <w:rFonts w:ascii="Arial" w:hAnsi="Arial" w:cs="Arial"/>
          <w:snapToGrid w:val="0"/>
        </w:rPr>
        <w:t>Palerm,</w:t>
      </w:r>
      <w:r w:rsidR="003D5AFC">
        <w:rPr>
          <w:rFonts w:ascii="Arial" w:hAnsi="Arial" w:cs="Arial"/>
          <w:snapToGrid w:val="0"/>
        </w:rPr>
        <w:t xml:space="preserve"> Á</w:t>
      </w:r>
      <w:r>
        <w:rPr>
          <w:rFonts w:ascii="Arial" w:hAnsi="Arial" w:cs="Arial"/>
          <w:snapToGrid w:val="0"/>
        </w:rPr>
        <w:t xml:space="preserve">ngel (1987). </w:t>
      </w:r>
      <w:r w:rsidRPr="003D5AFC">
        <w:rPr>
          <w:rFonts w:ascii="Arial" w:hAnsi="Arial" w:cs="Arial"/>
          <w:i/>
          <w:iCs/>
          <w:snapToGrid w:val="0"/>
        </w:rPr>
        <w:t>Teor</w:t>
      </w:r>
      <w:r w:rsidR="003D5AFC" w:rsidRPr="003D5AFC">
        <w:rPr>
          <w:rFonts w:ascii="Arial" w:hAnsi="Arial" w:cs="Arial"/>
          <w:i/>
          <w:iCs/>
          <w:snapToGrid w:val="0"/>
        </w:rPr>
        <w:t>í</w:t>
      </w:r>
      <w:r w:rsidRPr="003D5AFC">
        <w:rPr>
          <w:rFonts w:ascii="Arial" w:hAnsi="Arial" w:cs="Arial"/>
          <w:i/>
          <w:iCs/>
          <w:snapToGrid w:val="0"/>
        </w:rPr>
        <w:t>a etnol</w:t>
      </w:r>
      <w:r w:rsidR="003D5AFC" w:rsidRPr="003D5AFC">
        <w:rPr>
          <w:rFonts w:ascii="Arial" w:hAnsi="Arial" w:cs="Arial"/>
          <w:i/>
          <w:iCs/>
          <w:snapToGrid w:val="0"/>
        </w:rPr>
        <w:t>ó</w:t>
      </w:r>
      <w:r w:rsidRPr="003D5AFC">
        <w:rPr>
          <w:rFonts w:ascii="Arial" w:hAnsi="Arial" w:cs="Arial"/>
          <w:i/>
          <w:iCs/>
          <w:snapToGrid w:val="0"/>
        </w:rPr>
        <w:t>gica</w:t>
      </w:r>
      <w:r>
        <w:rPr>
          <w:rFonts w:ascii="Arial" w:hAnsi="Arial" w:cs="Arial"/>
          <w:snapToGrid w:val="0"/>
        </w:rPr>
        <w:t xml:space="preserve">. </w:t>
      </w:r>
      <w:r w:rsidR="00FC0AA6">
        <w:rPr>
          <w:rFonts w:ascii="Arial" w:hAnsi="Arial" w:cs="Arial"/>
          <w:snapToGrid w:val="0"/>
        </w:rPr>
        <w:t>Universidad Aut</w:t>
      </w:r>
      <w:r w:rsidR="003D5AFC">
        <w:rPr>
          <w:rFonts w:ascii="Arial" w:hAnsi="Arial" w:cs="Arial"/>
          <w:snapToGrid w:val="0"/>
        </w:rPr>
        <w:t>ó</w:t>
      </w:r>
      <w:r w:rsidR="00FC0AA6">
        <w:rPr>
          <w:rFonts w:ascii="Arial" w:hAnsi="Arial" w:cs="Arial"/>
          <w:snapToGrid w:val="0"/>
        </w:rPr>
        <w:t>noma de Quer</w:t>
      </w:r>
      <w:r w:rsidR="003D5AFC">
        <w:rPr>
          <w:rFonts w:ascii="Arial" w:hAnsi="Arial" w:cs="Arial"/>
          <w:snapToGrid w:val="0"/>
        </w:rPr>
        <w:t>é</w:t>
      </w:r>
      <w:r w:rsidR="00FC0AA6">
        <w:rPr>
          <w:rFonts w:ascii="Arial" w:hAnsi="Arial" w:cs="Arial"/>
          <w:snapToGrid w:val="0"/>
        </w:rPr>
        <w:t>taro</w:t>
      </w:r>
      <w:r w:rsidR="003D5AFC">
        <w:rPr>
          <w:rFonts w:ascii="Arial" w:hAnsi="Arial" w:cs="Arial"/>
          <w:snapToGrid w:val="0"/>
        </w:rPr>
        <w:t>.</w:t>
      </w:r>
    </w:p>
    <w:p w14:paraId="58EA5AA4" w14:textId="77777777" w:rsidR="00FB4C4E" w:rsidRPr="00CB4047" w:rsidRDefault="00FB4C4E" w:rsidP="00FB4C4E">
      <w:pPr>
        <w:spacing w:after="0" w:line="240" w:lineRule="auto"/>
        <w:ind w:left="709" w:hanging="709"/>
        <w:jc w:val="both"/>
        <w:rPr>
          <w:rFonts w:ascii="Arial" w:hAnsi="Arial" w:cs="Arial"/>
        </w:rPr>
      </w:pPr>
      <w:r w:rsidRPr="00CB4047">
        <w:rPr>
          <w:rFonts w:ascii="Arial" w:hAnsi="Arial" w:cs="Arial"/>
        </w:rPr>
        <w:t xml:space="preserve">Rodríguez Caso, Juan Manuel (2018). “Institucionalización de la Antropología en las reuniones de la British Association for the Advancement of Science (BAAS), 1863-1870”. En: Cuiculco. Revista de Ciencias Antropológicas, Nª73, septiembre-diciembre 2018, pp. 167-188.  Disponible en: </w:t>
      </w:r>
      <w:hyperlink r:id="rId9" w:history="1">
        <w:r w:rsidRPr="00CB4047">
          <w:rPr>
            <w:rStyle w:val="Hipervnculo"/>
            <w:rFonts w:ascii="Arial" w:hAnsi="Arial" w:cs="Arial"/>
          </w:rPr>
          <w:t>http://www.scielo.org.mx/pdf/crca/v25n73/2448-8488-crca-25-73-167.pdf</w:t>
        </w:r>
      </w:hyperlink>
    </w:p>
    <w:p w14:paraId="6BF4351C" w14:textId="30D11263" w:rsidR="00BF5DF9" w:rsidRPr="00BF5DF9" w:rsidRDefault="00455C58" w:rsidP="003810DC">
      <w:pPr>
        <w:spacing w:after="0" w:line="240" w:lineRule="auto"/>
        <w:rPr>
          <w:rFonts w:ascii="Arial" w:hAnsi="Arial" w:cs="Arial"/>
        </w:rPr>
      </w:pPr>
      <w:r w:rsidRPr="00BF5DF9">
        <w:rPr>
          <w:rFonts w:ascii="Arial" w:hAnsi="Arial" w:cs="Arial"/>
        </w:rPr>
        <w:t>Tylor</w:t>
      </w:r>
      <w:r w:rsidR="00BF5DF9" w:rsidRPr="00BF5DF9">
        <w:rPr>
          <w:rFonts w:ascii="Arial" w:hAnsi="Arial" w:cs="Arial"/>
        </w:rPr>
        <w:t xml:space="preserve">, Edward B. (1977), “La ciencia de la cultura, en </w:t>
      </w:r>
      <w:r w:rsidR="00BF5DF9" w:rsidRPr="006A2AAD">
        <w:rPr>
          <w:rFonts w:ascii="Arial" w:hAnsi="Arial" w:cs="Arial"/>
          <w:i/>
          <w:iCs/>
        </w:rPr>
        <w:t>Cultura Primitva</w:t>
      </w:r>
      <w:r w:rsidR="00BF5DF9" w:rsidRPr="00BF5DF9">
        <w:rPr>
          <w:rFonts w:ascii="Arial" w:hAnsi="Arial" w:cs="Arial"/>
        </w:rPr>
        <w:t>. Madrid. Ayuso. 1ª edición en inglés, 1</w:t>
      </w:r>
      <w:r w:rsidR="00BF5DF9">
        <w:rPr>
          <w:rFonts w:ascii="Arial" w:hAnsi="Arial" w:cs="Arial"/>
        </w:rPr>
        <w:t>8</w:t>
      </w:r>
      <w:r w:rsidR="00BF5DF9" w:rsidRPr="00BF5DF9">
        <w:rPr>
          <w:rFonts w:ascii="Arial" w:hAnsi="Arial" w:cs="Arial"/>
        </w:rPr>
        <w:t>71.</w:t>
      </w:r>
    </w:p>
    <w:p w14:paraId="38CE804C" w14:textId="052E2D74" w:rsidR="003810DC" w:rsidRPr="00BF5DF9" w:rsidRDefault="00BF5DF9" w:rsidP="003810DC">
      <w:pPr>
        <w:spacing w:after="0" w:line="240" w:lineRule="auto"/>
        <w:rPr>
          <w:rFonts w:ascii="Arial" w:hAnsi="Arial" w:cs="Arial"/>
        </w:rPr>
      </w:pPr>
      <w:r w:rsidRPr="00BF5DF9">
        <w:rPr>
          <w:rFonts w:ascii="Arial" w:hAnsi="Arial" w:cs="Arial"/>
        </w:rPr>
        <w:t xml:space="preserve"> - - - - - - - - - - - - - - - (1973), </w:t>
      </w:r>
      <w:r w:rsidRPr="006A2AAD">
        <w:rPr>
          <w:rFonts w:ascii="Arial" w:hAnsi="Arial" w:cs="Arial"/>
          <w:i/>
          <w:iCs/>
        </w:rPr>
        <w:t>Antropología</w:t>
      </w:r>
      <w:r w:rsidRPr="00BF5DF9">
        <w:rPr>
          <w:rFonts w:ascii="Arial" w:hAnsi="Arial" w:cs="Arial"/>
        </w:rPr>
        <w:t>. Madrid, Ayuso</w:t>
      </w:r>
      <w:r w:rsidR="003D5AFC">
        <w:rPr>
          <w:rFonts w:ascii="Arial" w:hAnsi="Arial" w:cs="Arial"/>
        </w:rPr>
        <w:t>. 1ª ed. En inglés, 1881.</w:t>
      </w:r>
    </w:p>
    <w:sectPr w:rsidR="003810DC" w:rsidRPr="00BF5DF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24B02" w14:textId="77777777" w:rsidR="009A67EE" w:rsidRDefault="009A67EE" w:rsidP="00004359">
      <w:pPr>
        <w:spacing w:after="0" w:line="240" w:lineRule="auto"/>
      </w:pPr>
      <w:r>
        <w:separator/>
      </w:r>
    </w:p>
  </w:endnote>
  <w:endnote w:type="continuationSeparator" w:id="0">
    <w:p w14:paraId="31361B6A" w14:textId="77777777" w:rsidR="009A67EE" w:rsidRDefault="009A67EE" w:rsidP="00004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590397"/>
      <w:docPartObj>
        <w:docPartGallery w:val="Page Numbers (Bottom of Page)"/>
        <w:docPartUnique/>
      </w:docPartObj>
    </w:sdtPr>
    <w:sdtContent>
      <w:p w14:paraId="470EB489" w14:textId="261F32FB" w:rsidR="00336C82" w:rsidRDefault="00336C82">
        <w:pPr>
          <w:pStyle w:val="Piedepgina"/>
          <w:jc w:val="center"/>
        </w:pPr>
        <w:r>
          <w:rPr>
            <w:noProof/>
          </w:rPr>
          <mc:AlternateContent>
            <mc:Choice Requires="wps">
              <w:drawing>
                <wp:inline distT="0" distB="0" distL="0" distR="0" wp14:anchorId="6B70EC8B" wp14:editId="62F939B2">
                  <wp:extent cx="5467350" cy="45085"/>
                  <wp:effectExtent l="0" t="9525" r="0" b="2540"/>
                  <wp:docPr id="1" name="Diagrama de flujo: decisió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CF47212" id="_x0000_t110" coordsize="21600,21600" o:spt="110" path="m10800,l,10800,10800,21600,21600,10800xe">
                  <v:stroke joinstyle="miter"/>
                  <v:path gradientshapeok="t" o:connecttype="rect" textboxrect="5400,5400,16200,16200"/>
                </v:shapetype>
                <v:shape id="Diagrama de flujo: decisió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" fillcolor="black" stroked="f">
                  <v:fill r:id="rId1" o:title="" type="pattern"/>
                  <w10:anchorlock/>
                </v:shape>
              </w:pict>
            </mc:Fallback>
          </mc:AlternateContent>
        </w:r>
      </w:p>
      <w:p w14:paraId="1A30B8F3" w14:textId="1483FA1F" w:rsidR="00336C82" w:rsidRDefault="00336C82">
        <w:pPr>
          <w:pStyle w:val="Piedepgina"/>
          <w:jc w:val="center"/>
        </w:pPr>
        <w:r>
          <w:fldChar w:fldCharType="begin"/>
        </w:r>
        <w:r>
          <w:instrText>PAGE    \* MERGEFORMAT</w:instrText>
        </w:r>
        <w:r>
          <w:fldChar w:fldCharType="separate"/>
        </w:r>
        <w:r>
          <w:rPr>
            <w:lang w:val="es-ES"/>
          </w:rPr>
          <w:t>2</w:t>
        </w:r>
        <w:r>
          <w:fldChar w:fldCharType="end"/>
        </w:r>
      </w:p>
    </w:sdtContent>
  </w:sdt>
  <w:p w14:paraId="59D9DBBC" w14:textId="7804E716" w:rsidR="00336C82" w:rsidRDefault="00336C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FCC7D" w14:textId="77777777" w:rsidR="009A67EE" w:rsidRDefault="009A67EE" w:rsidP="00004359">
      <w:pPr>
        <w:spacing w:after="0" w:line="240" w:lineRule="auto"/>
      </w:pPr>
      <w:r>
        <w:separator/>
      </w:r>
    </w:p>
  </w:footnote>
  <w:footnote w:type="continuationSeparator" w:id="0">
    <w:p w14:paraId="50183BAB" w14:textId="77777777" w:rsidR="009A67EE" w:rsidRDefault="009A67EE" w:rsidP="00004359">
      <w:pPr>
        <w:spacing w:after="0" w:line="240" w:lineRule="auto"/>
      </w:pPr>
      <w:r>
        <w:continuationSeparator/>
      </w:r>
    </w:p>
  </w:footnote>
  <w:footnote w:id="1">
    <w:p w14:paraId="35798F8D" w14:textId="0DA00964" w:rsidR="000E2B52" w:rsidRPr="00623D5B" w:rsidRDefault="000E2B52" w:rsidP="000E2B52">
      <w:pPr>
        <w:pStyle w:val="Prrafodelista"/>
        <w:spacing w:after="0" w:line="240" w:lineRule="auto"/>
        <w:ind w:left="0"/>
        <w:jc w:val="both"/>
        <w:rPr>
          <w:rFonts w:ascii="Arial" w:hAnsi="Arial" w:cs="Arial"/>
          <w:sz w:val="20"/>
          <w:szCs w:val="20"/>
        </w:rPr>
      </w:pPr>
      <w:r>
        <w:rPr>
          <w:rStyle w:val="Refdenotaalpie"/>
        </w:rPr>
        <w:footnoteRef/>
      </w:r>
      <w:r>
        <w:t xml:space="preserve"> “</w:t>
      </w:r>
      <w:r w:rsidRPr="008709D3">
        <w:rPr>
          <w:rFonts w:ascii="Arial" w:hAnsi="Arial" w:cs="Arial"/>
          <w:sz w:val="20"/>
          <w:szCs w:val="20"/>
        </w:rPr>
        <w:t xml:space="preserve">El monogenismo era la propuesta que mantenía un origen único para las razas humanas, mientras que el poligenismo defendía la existencia de diferentes orígenes para cada raza. Originalmente, el monogenismo se asumió para explicar el origen de la humanidad a partir de Adán y Eva, pero con el avance del naturalismo se pasó a defender una explicación naturalista” </w:t>
      </w:r>
      <w:r w:rsidR="00DF6E6D">
        <w:rPr>
          <w:rFonts w:ascii="Arial" w:hAnsi="Arial" w:cs="Arial"/>
          <w:sz w:val="20"/>
          <w:szCs w:val="20"/>
        </w:rPr>
        <w:t>(</w:t>
      </w:r>
      <w:r w:rsidRPr="008709D3">
        <w:rPr>
          <w:rFonts w:ascii="Arial" w:hAnsi="Arial" w:cs="Arial"/>
          <w:sz w:val="20"/>
          <w:szCs w:val="20"/>
        </w:rPr>
        <w:t>véase Stocking 1987, citado en Rodríguez Caso, 2018: 177).</w:t>
      </w:r>
    </w:p>
  </w:footnote>
  <w:footnote w:id="2">
    <w:p w14:paraId="1384DF4E" w14:textId="1C3BFB06" w:rsidR="000E2B52" w:rsidRPr="00177BAA" w:rsidRDefault="000E2B52" w:rsidP="000E2B52">
      <w:pPr>
        <w:spacing w:after="0" w:line="240" w:lineRule="auto"/>
        <w:jc w:val="both"/>
        <w:rPr>
          <w:rFonts w:ascii="Arial" w:hAnsi="Arial" w:cs="Arial"/>
          <w:sz w:val="20"/>
          <w:szCs w:val="20"/>
        </w:rPr>
      </w:pPr>
      <w:r w:rsidRPr="00177BAA">
        <w:rPr>
          <w:rStyle w:val="Refdenotaalpie"/>
          <w:rFonts w:ascii="Arial" w:hAnsi="Arial" w:cs="Arial"/>
          <w:sz w:val="20"/>
          <w:szCs w:val="20"/>
        </w:rPr>
        <w:footnoteRef/>
      </w:r>
      <w:r w:rsidR="008716C3">
        <w:rPr>
          <w:rFonts w:ascii="Arial" w:hAnsi="Arial" w:cs="Arial"/>
          <w:sz w:val="20"/>
          <w:szCs w:val="20"/>
        </w:rPr>
        <w:t>Rodríguez Caso (2018) ofrece una enumeración de a</w:t>
      </w:r>
      <w:r w:rsidRPr="00177BAA">
        <w:rPr>
          <w:rFonts w:ascii="Arial" w:hAnsi="Arial" w:cs="Arial"/>
          <w:sz w:val="20"/>
          <w:szCs w:val="20"/>
        </w:rPr>
        <w:t xml:space="preserve">lgunas de las obras que reflejan </w:t>
      </w:r>
      <w:r w:rsidR="006D110E">
        <w:rPr>
          <w:rFonts w:ascii="Arial" w:hAnsi="Arial" w:cs="Arial"/>
          <w:sz w:val="20"/>
          <w:szCs w:val="20"/>
        </w:rPr>
        <w:t>el devenir</w:t>
      </w:r>
      <w:r w:rsidRPr="00177BAA">
        <w:rPr>
          <w:rFonts w:ascii="Arial" w:hAnsi="Arial" w:cs="Arial"/>
          <w:sz w:val="20"/>
          <w:szCs w:val="20"/>
        </w:rPr>
        <w:t xml:space="preserve"> de las discusiones a lo largo de la década de 1860</w:t>
      </w:r>
      <w:r w:rsidR="00BC6D81">
        <w:rPr>
          <w:rFonts w:ascii="Arial" w:hAnsi="Arial" w:cs="Arial"/>
          <w:sz w:val="20"/>
          <w:szCs w:val="20"/>
        </w:rPr>
        <w:t xml:space="preserve"> en Gran Bretaña</w:t>
      </w:r>
      <w:r w:rsidR="008716C3">
        <w:rPr>
          <w:rFonts w:ascii="Arial" w:hAnsi="Arial" w:cs="Arial"/>
          <w:sz w:val="20"/>
          <w:szCs w:val="20"/>
        </w:rPr>
        <w:t xml:space="preserve"> y el fuerte interés por el tema de “los orígenes”</w:t>
      </w:r>
      <w:r w:rsidRPr="00177BAA">
        <w:rPr>
          <w:rFonts w:ascii="Arial" w:hAnsi="Arial" w:cs="Arial"/>
          <w:sz w:val="20"/>
          <w:szCs w:val="20"/>
        </w:rPr>
        <w:t>:</w:t>
      </w:r>
      <w:r>
        <w:rPr>
          <w:rFonts w:ascii="Arial" w:hAnsi="Arial" w:cs="Arial"/>
          <w:sz w:val="20"/>
          <w:szCs w:val="20"/>
        </w:rPr>
        <w:t xml:space="preserve"> </w:t>
      </w:r>
      <w:r w:rsidRPr="00177BAA">
        <w:rPr>
          <w:rFonts w:ascii="Arial" w:hAnsi="Arial" w:cs="Arial"/>
          <w:i/>
          <w:iCs/>
          <w:sz w:val="20"/>
          <w:szCs w:val="20"/>
        </w:rPr>
        <w:t>Anahuac: or, Mexico and the Mexicans, Ancient and Modern</w:t>
      </w:r>
      <w:r w:rsidRPr="00177BAA">
        <w:rPr>
          <w:rFonts w:ascii="Arial" w:hAnsi="Arial" w:cs="Arial"/>
          <w:sz w:val="20"/>
          <w:szCs w:val="20"/>
        </w:rPr>
        <w:t xml:space="preserve"> (1861), de Edward B. Tylor; </w:t>
      </w:r>
      <w:r w:rsidRPr="00177BAA">
        <w:rPr>
          <w:rFonts w:ascii="Arial" w:hAnsi="Arial" w:cs="Arial"/>
          <w:i/>
          <w:iCs/>
          <w:sz w:val="20"/>
          <w:szCs w:val="20"/>
        </w:rPr>
        <w:t>Ancient Law</w:t>
      </w:r>
      <w:r w:rsidRPr="00177BAA">
        <w:rPr>
          <w:rFonts w:ascii="Arial" w:hAnsi="Arial" w:cs="Arial"/>
          <w:sz w:val="20"/>
          <w:szCs w:val="20"/>
        </w:rPr>
        <w:t xml:space="preserve"> (1861), de Henry James Sumner Maine; </w:t>
      </w:r>
      <w:r w:rsidRPr="00177BAA">
        <w:rPr>
          <w:rFonts w:ascii="Arial" w:eastAsia="Times New Roman" w:hAnsi="Arial" w:cs="Arial"/>
          <w:i/>
          <w:iCs/>
          <w:color w:val="554E3A"/>
          <w:sz w:val="20"/>
          <w:szCs w:val="20"/>
          <w:bdr w:val="none" w:sz="0" w:space="0" w:color="auto" w:frame="1"/>
          <w:lang w:eastAsia="es-AR"/>
        </w:rPr>
        <w:t>Las evidencias geológicas de la antigüedad del hombre</w:t>
      </w:r>
      <w:r w:rsidRPr="00177BAA">
        <w:rPr>
          <w:rFonts w:ascii="Arial" w:eastAsia="Times New Roman" w:hAnsi="Arial" w:cs="Arial"/>
          <w:color w:val="000000"/>
          <w:sz w:val="20"/>
          <w:szCs w:val="20"/>
          <w:lang w:eastAsia="es-AR"/>
        </w:rPr>
        <w:t xml:space="preserve"> </w:t>
      </w:r>
      <w:r w:rsidRPr="00177BAA">
        <w:rPr>
          <w:rFonts w:ascii="Arial" w:eastAsia="Times New Roman" w:hAnsi="Arial" w:cs="Arial"/>
          <w:color w:val="554E3A"/>
          <w:sz w:val="20"/>
          <w:szCs w:val="20"/>
          <w:bdr w:val="none" w:sz="0" w:space="0" w:color="auto" w:frame="1"/>
          <w:lang w:eastAsia="es-AR"/>
        </w:rPr>
        <w:t xml:space="preserve">(1863), de Sir Charles Lyell; </w:t>
      </w:r>
      <w:r w:rsidRPr="00177BAA">
        <w:rPr>
          <w:rFonts w:ascii="Arial" w:eastAsia="Times New Roman" w:hAnsi="Arial" w:cs="Arial"/>
          <w:i/>
          <w:iCs/>
          <w:color w:val="554E3A"/>
          <w:sz w:val="20"/>
          <w:szCs w:val="20"/>
          <w:bdr w:val="none" w:sz="0" w:space="0" w:color="auto" w:frame="1"/>
          <w:lang w:eastAsia="es-AR"/>
        </w:rPr>
        <w:t>El lugar del Hombre en la naturaleza</w:t>
      </w:r>
      <w:r w:rsidRPr="00177BAA">
        <w:rPr>
          <w:rFonts w:ascii="Arial" w:eastAsia="Times New Roman" w:hAnsi="Arial" w:cs="Arial"/>
          <w:color w:val="000000"/>
          <w:sz w:val="20"/>
          <w:szCs w:val="20"/>
          <w:lang w:eastAsia="es-AR"/>
        </w:rPr>
        <w:t xml:space="preserve"> </w:t>
      </w:r>
      <w:r w:rsidRPr="00177BAA">
        <w:rPr>
          <w:rFonts w:ascii="Arial" w:eastAsia="Times New Roman" w:hAnsi="Arial" w:cs="Arial"/>
          <w:color w:val="554E3A"/>
          <w:spacing w:val="-15"/>
          <w:sz w:val="20"/>
          <w:szCs w:val="20"/>
          <w:bdr w:val="none" w:sz="0" w:space="0" w:color="auto" w:frame="1"/>
          <w:lang w:eastAsia="es-AR"/>
        </w:rPr>
        <w:t xml:space="preserve">(1863), de Thomas Huxley; </w:t>
      </w:r>
      <w:r w:rsidRPr="00177BAA">
        <w:rPr>
          <w:rFonts w:ascii="Arial" w:eastAsia="Times New Roman" w:hAnsi="Arial" w:cs="Arial"/>
          <w:i/>
          <w:iCs/>
          <w:color w:val="554E3A"/>
          <w:sz w:val="20"/>
          <w:szCs w:val="20"/>
          <w:bdr w:val="none" w:sz="0" w:space="0" w:color="auto" w:frame="1"/>
          <w:lang w:eastAsia="es-AR"/>
        </w:rPr>
        <w:t>El origen de las razas humanas y la antigüedad del hombre deducido de la teoría de la "selección natural"</w:t>
      </w:r>
      <w:r w:rsidRPr="00177BAA">
        <w:rPr>
          <w:rFonts w:ascii="Arial" w:eastAsia="Times New Roman" w:hAnsi="Arial" w:cs="Arial"/>
          <w:color w:val="000000"/>
          <w:sz w:val="20"/>
          <w:szCs w:val="20"/>
          <w:lang w:eastAsia="es-AR"/>
        </w:rPr>
        <w:t xml:space="preserve"> </w:t>
      </w:r>
      <w:r w:rsidRPr="00177BAA">
        <w:rPr>
          <w:rFonts w:ascii="Arial" w:eastAsia="Times New Roman" w:hAnsi="Arial" w:cs="Arial"/>
          <w:color w:val="554E3A"/>
          <w:sz w:val="20"/>
          <w:szCs w:val="20"/>
          <w:bdr w:val="none" w:sz="0" w:space="0" w:color="auto" w:frame="1"/>
          <w:lang w:eastAsia="es-AR"/>
        </w:rPr>
        <w:t xml:space="preserve">(1864), de Alfred Russel Wallace; </w:t>
      </w:r>
      <w:r w:rsidRPr="00177BAA">
        <w:rPr>
          <w:rFonts w:ascii="Arial" w:eastAsia="Times New Roman" w:hAnsi="Arial" w:cs="Arial"/>
          <w:i/>
          <w:iCs/>
          <w:color w:val="554E3A"/>
          <w:sz w:val="20"/>
          <w:szCs w:val="20"/>
          <w:bdr w:val="none" w:sz="0" w:space="0" w:color="auto" w:frame="1"/>
          <w:lang w:eastAsia="es-AR"/>
        </w:rPr>
        <w:t>Tiempos prehistóricos, ilustrado por </w:t>
      </w:r>
      <w:r>
        <w:rPr>
          <w:rFonts w:ascii="Arial" w:eastAsia="Times New Roman" w:hAnsi="Arial" w:cs="Arial"/>
          <w:i/>
          <w:iCs/>
          <w:color w:val="554E3A"/>
          <w:sz w:val="20"/>
          <w:szCs w:val="20"/>
          <w:bdr w:val="none" w:sz="0" w:space="0" w:color="auto" w:frame="1"/>
          <w:lang w:eastAsia="es-AR"/>
        </w:rPr>
        <w:t>r</w:t>
      </w:r>
      <w:r w:rsidRPr="00177BAA">
        <w:rPr>
          <w:rFonts w:ascii="Arial" w:eastAsia="Times New Roman" w:hAnsi="Arial" w:cs="Arial"/>
          <w:i/>
          <w:iCs/>
          <w:color w:val="554E3A"/>
          <w:sz w:val="20"/>
          <w:szCs w:val="20"/>
          <w:bdr w:val="none" w:sz="0" w:space="0" w:color="auto" w:frame="1"/>
          <w:lang w:eastAsia="es-AR"/>
        </w:rPr>
        <w:t>estos antiguos y modales y costumbres de los salvajes modernos</w:t>
      </w:r>
      <w:r w:rsidRPr="00177BAA">
        <w:rPr>
          <w:rFonts w:ascii="Arial" w:eastAsia="Times New Roman" w:hAnsi="Arial" w:cs="Arial"/>
          <w:color w:val="554E3A"/>
          <w:sz w:val="20"/>
          <w:szCs w:val="20"/>
          <w:bdr w:val="none" w:sz="0" w:space="0" w:color="auto" w:frame="1"/>
          <w:lang w:eastAsia="es-AR"/>
        </w:rPr>
        <w:t> (1865), de Sir John Lubbock</w:t>
      </w:r>
      <w:r w:rsidRPr="00177BAA">
        <w:rPr>
          <w:rFonts w:ascii="Arial" w:eastAsia="Times New Roman" w:hAnsi="Arial" w:cs="Arial"/>
          <w:color w:val="000000"/>
          <w:sz w:val="20"/>
          <w:szCs w:val="20"/>
          <w:lang w:eastAsia="es-AR"/>
        </w:rPr>
        <w:t xml:space="preserve">; </w:t>
      </w:r>
      <w:r w:rsidRPr="00177BAA">
        <w:rPr>
          <w:rFonts w:ascii="Arial" w:eastAsia="Times New Roman" w:hAnsi="Arial" w:cs="Arial"/>
          <w:i/>
          <w:iCs/>
          <w:color w:val="554E3A"/>
          <w:sz w:val="20"/>
          <w:szCs w:val="20"/>
          <w:bdr w:val="none" w:sz="0" w:space="0" w:color="auto" w:frame="1"/>
          <w:lang w:eastAsia="es-AR"/>
        </w:rPr>
        <w:t>Investigaciones sobre la historia temprana de la humanidad y el desarrollo de la Civilización</w:t>
      </w:r>
      <w:r w:rsidRPr="00177BAA">
        <w:rPr>
          <w:rFonts w:ascii="Arial" w:eastAsia="Times New Roman" w:hAnsi="Arial" w:cs="Arial"/>
          <w:i/>
          <w:iCs/>
          <w:color w:val="000000"/>
          <w:sz w:val="20"/>
          <w:szCs w:val="20"/>
          <w:lang w:eastAsia="es-AR"/>
        </w:rPr>
        <w:t xml:space="preserve"> </w:t>
      </w:r>
      <w:r w:rsidRPr="00177BAA">
        <w:rPr>
          <w:rFonts w:ascii="Arial" w:eastAsia="Times New Roman" w:hAnsi="Arial" w:cs="Arial"/>
          <w:color w:val="554E3A"/>
          <w:sz w:val="20"/>
          <w:szCs w:val="20"/>
          <w:bdr w:val="none" w:sz="0" w:space="0" w:color="auto" w:frame="1"/>
          <w:lang w:eastAsia="es-AR"/>
        </w:rPr>
        <w:t>(1865), de Edward B. Tylor</w:t>
      </w:r>
      <w:r w:rsidRPr="00177BAA">
        <w:rPr>
          <w:rFonts w:ascii="Arial" w:eastAsia="Times New Roman" w:hAnsi="Arial" w:cs="Arial"/>
          <w:color w:val="000000"/>
          <w:sz w:val="20"/>
          <w:szCs w:val="20"/>
          <w:lang w:eastAsia="es-AR"/>
        </w:rPr>
        <w:t xml:space="preserve">; </w:t>
      </w:r>
      <w:r w:rsidRPr="00177BAA">
        <w:rPr>
          <w:rFonts w:ascii="Arial" w:eastAsia="Times New Roman" w:hAnsi="Arial" w:cs="Arial"/>
          <w:i/>
          <w:iCs/>
          <w:color w:val="554E3A"/>
          <w:sz w:val="20"/>
          <w:szCs w:val="20"/>
          <w:bdr w:val="none" w:sz="0" w:space="0" w:color="auto" w:frame="1"/>
          <w:lang w:eastAsia="es-AR"/>
        </w:rPr>
        <w:t>El hombre primitivo: un examen de algunas especulaciones recientes</w:t>
      </w:r>
      <w:r w:rsidRPr="00177BAA">
        <w:rPr>
          <w:rFonts w:ascii="Arial" w:eastAsia="Times New Roman" w:hAnsi="Arial" w:cs="Arial"/>
          <w:i/>
          <w:iCs/>
          <w:color w:val="000000"/>
          <w:sz w:val="20"/>
          <w:szCs w:val="20"/>
          <w:lang w:eastAsia="es-AR"/>
        </w:rPr>
        <w:t xml:space="preserve"> </w:t>
      </w:r>
      <w:r w:rsidRPr="00177BAA">
        <w:rPr>
          <w:rFonts w:ascii="Arial" w:eastAsia="Times New Roman" w:hAnsi="Arial" w:cs="Arial"/>
          <w:color w:val="554E3A"/>
          <w:sz w:val="20"/>
          <w:szCs w:val="20"/>
          <w:bdr w:val="none" w:sz="0" w:space="0" w:color="auto" w:frame="1"/>
          <w:lang w:eastAsia="es-AR"/>
        </w:rPr>
        <w:t>(1869), de</w:t>
      </w:r>
      <w:r>
        <w:rPr>
          <w:rFonts w:ascii="Arial" w:eastAsia="Times New Roman" w:hAnsi="Arial" w:cs="Arial"/>
          <w:color w:val="554E3A"/>
          <w:sz w:val="20"/>
          <w:szCs w:val="20"/>
          <w:bdr w:val="none" w:sz="0" w:space="0" w:color="auto" w:frame="1"/>
          <w:lang w:eastAsia="es-AR"/>
        </w:rPr>
        <w:t xml:space="preserve"> </w:t>
      </w:r>
      <w:r w:rsidRPr="00177BAA">
        <w:rPr>
          <w:rFonts w:ascii="Arial" w:eastAsia="Times New Roman" w:hAnsi="Arial" w:cs="Arial"/>
          <w:color w:val="554E3A"/>
          <w:sz w:val="20"/>
          <w:szCs w:val="20"/>
          <w:bdr w:val="none" w:sz="0" w:space="0" w:color="auto" w:frame="1"/>
          <w:lang w:eastAsia="es-AR"/>
        </w:rPr>
        <w:t xml:space="preserve">George Campbell, 8° Duque de Argyl; </w:t>
      </w:r>
      <w:r w:rsidRPr="00177BAA">
        <w:rPr>
          <w:rFonts w:ascii="Arial" w:eastAsia="Times New Roman" w:hAnsi="Arial" w:cs="Arial"/>
          <w:i/>
          <w:iCs/>
          <w:color w:val="554E3A"/>
          <w:sz w:val="20"/>
          <w:szCs w:val="20"/>
          <w:bdr w:val="none" w:sz="0" w:space="0" w:color="auto" w:frame="1"/>
          <w:lang w:eastAsia="es-AR"/>
        </w:rPr>
        <w:t>El origen de la civilización y la condición primitiva de Hombre</w:t>
      </w:r>
      <w:r w:rsidRPr="00177BAA">
        <w:rPr>
          <w:rFonts w:ascii="Arial" w:eastAsia="Times New Roman" w:hAnsi="Arial" w:cs="Arial"/>
          <w:i/>
          <w:iCs/>
          <w:color w:val="000000"/>
          <w:sz w:val="20"/>
          <w:szCs w:val="20"/>
          <w:lang w:eastAsia="es-AR"/>
        </w:rPr>
        <w:t xml:space="preserve"> </w:t>
      </w:r>
      <w:r w:rsidRPr="00177BAA">
        <w:rPr>
          <w:rFonts w:ascii="Arial" w:eastAsia="Times New Roman" w:hAnsi="Arial" w:cs="Arial"/>
          <w:color w:val="554E3A"/>
          <w:sz w:val="20"/>
          <w:szCs w:val="20"/>
          <w:bdr w:val="none" w:sz="0" w:space="0" w:color="auto" w:frame="1"/>
          <w:lang w:eastAsia="es-AR"/>
        </w:rPr>
        <w:t>(1870),de Sir John Lubbock</w:t>
      </w:r>
    </w:p>
    <w:p w14:paraId="6B7766F6" w14:textId="77777777" w:rsidR="000E2B52" w:rsidRDefault="000E2B52" w:rsidP="000E2B52">
      <w:pPr>
        <w:pStyle w:val="Textonotapie"/>
      </w:pPr>
    </w:p>
  </w:footnote>
  <w:footnote w:id="3">
    <w:p w14:paraId="68DD835B" w14:textId="233B14E8" w:rsidR="00004359" w:rsidRDefault="00004359">
      <w:pPr>
        <w:pStyle w:val="Textonotapie"/>
      </w:pPr>
      <w:r>
        <w:rPr>
          <w:rStyle w:val="Refdenotaalpie"/>
        </w:rPr>
        <w:footnoteRef/>
      </w:r>
      <w:r>
        <w:t xml:space="preserve"> En Alemania, “cultura” y “civilización” aparecen como términos contrapuestos</w:t>
      </w:r>
      <w:r w:rsidR="00F64B7B">
        <w:t xml:space="preserve"> (ver Cuché, 2002).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2" w15:restartNumberingAfterBreak="0">
    <w:nsid w:val="159E03AA"/>
    <w:multiLevelType w:val="hybridMultilevel"/>
    <w:tmpl w:val="59E2AEBA"/>
    <w:lvl w:ilvl="0" w:tplc="2C0A0017">
      <w:start w:val="1"/>
      <w:numFmt w:val="low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num w:numId="1" w16cid:durableId="7177797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1619182">
    <w:abstractNumId w:val="0"/>
  </w:num>
  <w:num w:numId="3" w16cid:durableId="15521869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E1F"/>
    <w:rsid w:val="000018BD"/>
    <w:rsid w:val="00003626"/>
    <w:rsid w:val="00004359"/>
    <w:rsid w:val="0002080A"/>
    <w:rsid w:val="000B1C8F"/>
    <w:rsid w:val="000B6021"/>
    <w:rsid w:val="000E004A"/>
    <w:rsid w:val="000E2B52"/>
    <w:rsid w:val="000F653F"/>
    <w:rsid w:val="0010421E"/>
    <w:rsid w:val="0013494E"/>
    <w:rsid w:val="00154429"/>
    <w:rsid w:val="00171D1A"/>
    <w:rsid w:val="001969F4"/>
    <w:rsid w:val="001A45AA"/>
    <w:rsid w:val="001C13F0"/>
    <w:rsid w:val="001C6410"/>
    <w:rsid w:val="001F5DE8"/>
    <w:rsid w:val="00256CE5"/>
    <w:rsid w:val="002733AB"/>
    <w:rsid w:val="002806CD"/>
    <w:rsid w:val="002908A7"/>
    <w:rsid w:val="002B67DB"/>
    <w:rsid w:val="002C6870"/>
    <w:rsid w:val="0030352E"/>
    <w:rsid w:val="00310C9A"/>
    <w:rsid w:val="00336C82"/>
    <w:rsid w:val="003508D7"/>
    <w:rsid w:val="003810DC"/>
    <w:rsid w:val="00384A1C"/>
    <w:rsid w:val="00384A46"/>
    <w:rsid w:val="003B1A77"/>
    <w:rsid w:val="003B6C54"/>
    <w:rsid w:val="003D5AFC"/>
    <w:rsid w:val="004016FE"/>
    <w:rsid w:val="0041501D"/>
    <w:rsid w:val="0043326A"/>
    <w:rsid w:val="00455C58"/>
    <w:rsid w:val="00461072"/>
    <w:rsid w:val="004702FC"/>
    <w:rsid w:val="004842D0"/>
    <w:rsid w:val="004A15CF"/>
    <w:rsid w:val="004F193B"/>
    <w:rsid w:val="005430DB"/>
    <w:rsid w:val="005574F6"/>
    <w:rsid w:val="00572AE4"/>
    <w:rsid w:val="005D7814"/>
    <w:rsid w:val="00613DE4"/>
    <w:rsid w:val="00616AEB"/>
    <w:rsid w:val="006A2AAD"/>
    <w:rsid w:val="006D110E"/>
    <w:rsid w:val="006F1BBF"/>
    <w:rsid w:val="007661C4"/>
    <w:rsid w:val="007933DD"/>
    <w:rsid w:val="007A0BBF"/>
    <w:rsid w:val="007A3EBA"/>
    <w:rsid w:val="008277D3"/>
    <w:rsid w:val="008716C3"/>
    <w:rsid w:val="00885411"/>
    <w:rsid w:val="008B268C"/>
    <w:rsid w:val="008C531D"/>
    <w:rsid w:val="008F4E1F"/>
    <w:rsid w:val="00922C84"/>
    <w:rsid w:val="00924F7B"/>
    <w:rsid w:val="00927342"/>
    <w:rsid w:val="0099549D"/>
    <w:rsid w:val="009A67EE"/>
    <w:rsid w:val="009D17E1"/>
    <w:rsid w:val="009E1015"/>
    <w:rsid w:val="00A105BB"/>
    <w:rsid w:val="00A14042"/>
    <w:rsid w:val="00A15086"/>
    <w:rsid w:val="00A162DB"/>
    <w:rsid w:val="00A4128C"/>
    <w:rsid w:val="00A46213"/>
    <w:rsid w:val="00A5553F"/>
    <w:rsid w:val="00A76620"/>
    <w:rsid w:val="00AB2EC9"/>
    <w:rsid w:val="00AD153B"/>
    <w:rsid w:val="00B47DB9"/>
    <w:rsid w:val="00B73EEA"/>
    <w:rsid w:val="00BA03CD"/>
    <w:rsid w:val="00BC6D81"/>
    <w:rsid w:val="00BF5DF9"/>
    <w:rsid w:val="00CB33EB"/>
    <w:rsid w:val="00D04FE6"/>
    <w:rsid w:val="00D16336"/>
    <w:rsid w:val="00D82230"/>
    <w:rsid w:val="00DB72F6"/>
    <w:rsid w:val="00DC0952"/>
    <w:rsid w:val="00DF6E6D"/>
    <w:rsid w:val="00E16477"/>
    <w:rsid w:val="00E25616"/>
    <w:rsid w:val="00E3024C"/>
    <w:rsid w:val="00E51AF7"/>
    <w:rsid w:val="00E57914"/>
    <w:rsid w:val="00E77D89"/>
    <w:rsid w:val="00E96AB8"/>
    <w:rsid w:val="00EB2E89"/>
    <w:rsid w:val="00EE6640"/>
    <w:rsid w:val="00EF28A3"/>
    <w:rsid w:val="00F16110"/>
    <w:rsid w:val="00F64B7B"/>
    <w:rsid w:val="00F67EF6"/>
    <w:rsid w:val="00F81E2B"/>
    <w:rsid w:val="00F830EF"/>
    <w:rsid w:val="00FB4C4E"/>
    <w:rsid w:val="00FC0AA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20383"/>
  <w15:chartTrackingRefBased/>
  <w15:docId w15:val="{FA18C6C4-4C03-441D-9928-1DE88096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E1F"/>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F4E1F"/>
    <w:pPr>
      <w:ind w:left="720"/>
      <w:contextualSpacing/>
    </w:pPr>
  </w:style>
  <w:style w:type="paragraph" w:styleId="Textonotapie">
    <w:name w:val="footnote text"/>
    <w:basedOn w:val="Normal"/>
    <w:link w:val="TextonotapieCar"/>
    <w:uiPriority w:val="99"/>
    <w:semiHidden/>
    <w:unhideWhenUsed/>
    <w:rsid w:val="000043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04359"/>
    <w:rPr>
      <w:sz w:val="20"/>
      <w:szCs w:val="20"/>
    </w:rPr>
  </w:style>
  <w:style w:type="character" w:styleId="Refdenotaalpie">
    <w:name w:val="footnote reference"/>
    <w:basedOn w:val="Fuentedeprrafopredeter"/>
    <w:uiPriority w:val="99"/>
    <w:semiHidden/>
    <w:unhideWhenUsed/>
    <w:rsid w:val="00004359"/>
    <w:rPr>
      <w:vertAlign w:val="superscript"/>
    </w:rPr>
  </w:style>
  <w:style w:type="paragraph" w:styleId="Encabezado">
    <w:name w:val="header"/>
    <w:basedOn w:val="Normal"/>
    <w:link w:val="EncabezadoCar"/>
    <w:uiPriority w:val="99"/>
    <w:unhideWhenUsed/>
    <w:rsid w:val="00336C8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6C82"/>
  </w:style>
  <w:style w:type="paragraph" w:styleId="Piedepgina">
    <w:name w:val="footer"/>
    <w:basedOn w:val="Normal"/>
    <w:link w:val="PiedepginaCar"/>
    <w:uiPriority w:val="99"/>
    <w:unhideWhenUsed/>
    <w:rsid w:val="00336C8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36C82"/>
  </w:style>
  <w:style w:type="character" w:styleId="Hipervnculo">
    <w:name w:val="Hyperlink"/>
    <w:basedOn w:val="Fuentedeprrafopredeter"/>
    <w:uiPriority w:val="99"/>
    <w:unhideWhenUsed/>
    <w:rsid w:val="00FB4C4E"/>
    <w:rPr>
      <w:color w:val="0563C1" w:themeColor="hyperlink"/>
      <w:u w:val="single"/>
    </w:rPr>
  </w:style>
  <w:style w:type="paragraph" w:styleId="NormalWeb">
    <w:name w:val="Normal (Web)"/>
    <w:basedOn w:val="Normal"/>
    <w:uiPriority w:val="99"/>
    <w:semiHidden/>
    <w:unhideWhenUsed/>
    <w:rsid w:val="0043326A"/>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09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cielo.org.mx/pdf/crca/v25n73/2448-8488-crca-25-73-167.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91943-FEF5-4850-B70A-7CAC4B51B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13</Pages>
  <Words>4189</Words>
  <Characters>23045</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53</cp:revision>
  <dcterms:created xsi:type="dcterms:W3CDTF">2021-06-13T21:43:00Z</dcterms:created>
  <dcterms:modified xsi:type="dcterms:W3CDTF">2023-06-03T18:29:00Z</dcterms:modified>
</cp:coreProperties>
</file>