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7724" w:rsidRDefault="00916EC4">
      <w:pPr>
        <w:ind w:hanging="2"/>
        <w:jc w:val="center"/>
        <w:rPr>
          <w:b/>
          <w:sz w:val="30"/>
          <w:szCs w:val="30"/>
        </w:rPr>
      </w:pPr>
      <w:bookmarkStart w:id="0" w:name="_GoBack"/>
      <w:bookmarkEnd w:id="0"/>
      <w:r>
        <w:rPr>
          <w:rFonts w:ascii="Times New Roman" w:eastAsia="Times New Roman" w:hAnsi="Times New Roman" w:cs="Times New Roman"/>
          <w:noProof/>
        </w:rPr>
        <w:drawing>
          <wp:inline distT="0" distB="0" distL="114300" distR="114300">
            <wp:extent cx="633095" cy="643890"/>
            <wp:effectExtent l="0" t="0" r="0" b="0"/>
            <wp:docPr id="2" name="image2.png" descr="Logotip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2.png" descr="Logotipo&#10;&#10;El contenido generado por IA puede ser incorrecto."/>
                    <pic:cNvPicPr preferRelativeResize="0"/>
                  </pic:nvPicPr>
                  <pic:blipFill>
                    <a:blip r:embed="rId8"/>
                    <a:srcRect/>
                    <a:stretch>
                      <a:fillRect/>
                    </a:stretch>
                  </pic:blipFill>
                  <pic:spPr>
                    <a:xfrm>
                      <a:off x="0" y="0"/>
                      <a:ext cx="633095" cy="643890"/>
                    </a:xfrm>
                    <a:prstGeom prst="rect">
                      <a:avLst/>
                    </a:prstGeom>
                    <a:ln/>
                  </pic:spPr>
                </pic:pic>
              </a:graphicData>
            </a:graphic>
          </wp:inline>
        </w:drawing>
      </w:r>
    </w:p>
    <w:p w:rsidR="00287724" w:rsidRDefault="00916EC4">
      <w:pPr>
        <w:widowControl w:val="0"/>
        <w:ind w:left="1" w:hanging="3"/>
        <w:jc w:val="center"/>
        <w:rPr>
          <w:rFonts w:ascii="Arial" w:eastAsia="Arial" w:hAnsi="Arial" w:cs="Arial"/>
          <w:sz w:val="30"/>
          <w:szCs w:val="30"/>
        </w:rPr>
      </w:pPr>
      <w:r>
        <w:rPr>
          <w:rFonts w:ascii="Arial" w:eastAsia="Arial" w:hAnsi="Arial" w:cs="Arial"/>
          <w:b/>
          <w:sz w:val="30"/>
          <w:szCs w:val="30"/>
        </w:rPr>
        <w:t>UNIVERSIDAD NACIONAL DE ROSARIO</w:t>
      </w:r>
    </w:p>
    <w:p w:rsidR="00287724" w:rsidRDefault="00916EC4">
      <w:pPr>
        <w:widowControl w:val="0"/>
        <w:ind w:left="1" w:hanging="3"/>
        <w:jc w:val="center"/>
        <w:rPr>
          <w:rFonts w:ascii="Arial" w:eastAsia="Arial" w:hAnsi="Arial" w:cs="Arial"/>
        </w:rPr>
      </w:pPr>
      <w:r>
        <w:rPr>
          <w:rFonts w:ascii="Arial" w:eastAsia="Arial" w:hAnsi="Arial" w:cs="Arial"/>
          <w:b/>
          <w:sz w:val="30"/>
          <w:szCs w:val="30"/>
        </w:rPr>
        <w:t>FACULTAD DE CIENCIAS ECONÓMICAS Y ESTADÍSTICA</w:t>
      </w:r>
    </w:p>
    <w:p w:rsidR="00287724" w:rsidRDefault="00287724">
      <w:pPr>
        <w:widowControl w:val="0"/>
        <w:ind w:hanging="2"/>
      </w:pPr>
    </w:p>
    <w:p w:rsidR="00287724" w:rsidRDefault="00287724">
      <w:pPr>
        <w:widowControl w:val="0"/>
        <w:ind w:hanging="2"/>
      </w:pPr>
    </w:p>
    <w:p w:rsidR="00287724" w:rsidRDefault="00287724">
      <w:pPr>
        <w:widowControl w:val="0"/>
        <w:ind w:hanging="2"/>
      </w:pPr>
    </w:p>
    <w:p w:rsidR="00287724" w:rsidRDefault="00916EC4">
      <w:pPr>
        <w:widowControl w:val="0"/>
        <w:ind w:hanging="2"/>
        <w:jc w:val="center"/>
        <w:rPr>
          <w:rFonts w:ascii="Arial" w:eastAsia="Arial" w:hAnsi="Arial" w:cs="Arial"/>
        </w:rPr>
      </w:pPr>
      <w:r>
        <w:rPr>
          <w:rFonts w:ascii="Arial" w:eastAsia="Arial" w:hAnsi="Arial" w:cs="Arial"/>
          <w:b/>
        </w:rPr>
        <w:t>CARRERA DE POSGRADO</w:t>
      </w:r>
    </w:p>
    <w:p w:rsidR="00287724" w:rsidRDefault="00287724">
      <w:pPr>
        <w:widowControl w:val="0"/>
        <w:ind w:hanging="2"/>
        <w:jc w:val="center"/>
        <w:rPr>
          <w:color w:val="00B050"/>
        </w:rPr>
      </w:pPr>
    </w:p>
    <w:p w:rsidR="00287724" w:rsidRDefault="00916EC4">
      <w:pPr>
        <w:widowControl w:val="0"/>
        <w:ind w:hanging="2"/>
        <w:jc w:val="center"/>
        <w:rPr>
          <w:rFonts w:ascii="Arial" w:eastAsia="Arial" w:hAnsi="Arial" w:cs="Arial"/>
          <w:sz w:val="28"/>
          <w:szCs w:val="28"/>
        </w:rPr>
      </w:pPr>
      <w:r>
        <w:rPr>
          <w:rFonts w:ascii="Arial" w:eastAsia="Arial" w:hAnsi="Arial" w:cs="Arial"/>
          <w:b/>
          <w:sz w:val="28"/>
          <w:szCs w:val="28"/>
        </w:rPr>
        <w:t>ESPECIALIZACIÓN EN SINDICATURA CONCURSAL</w:t>
      </w:r>
    </w:p>
    <w:p w:rsidR="00287724" w:rsidRDefault="00287724">
      <w:pPr>
        <w:widowControl w:val="0"/>
        <w:ind w:hanging="2"/>
        <w:rPr>
          <w:color w:val="00B050"/>
        </w:rPr>
      </w:pPr>
    </w:p>
    <w:p w:rsidR="00287724" w:rsidRDefault="00287724">
      <w:pPr>
        <w:widowControl w:val="0"/>
        <w:ind w:hanging="2"/>
        <w:rPr>
          <w:color w:val="00B050"/>
        </w:rPr>
      </w:pPr>
    </w:p>
    <w:p w:rsidR="00287724" w:rsidRDefault="00287724">
      <w:pPr>
        <w:widowControl w:val="0"/>
        <w:ind w:hanging="2"/>
        <w:rPr>
          <w:color w:val="00B050"/>
        </w:rPr>
      </w:pPr>
    </w:p>
    <w:p w:rsidR="00287724" w:rsidRDefault="00287724">
      <w:pPr>
        <w:widowControl w:val="0"/>
        <w:ind w:hanging="2"/>
        <w:rPr>
          <w:rFonts w:ascii="Arial" w:eastAsia="Arial" w:hAnsi="Arial" w:cs="Arial"/>
        </w:rPr>
      </w:pPr>
    </w:p>
    <w:p w:rsidR="00287724" w:rsidRDefault="00916EC4">
      <w:pPr>
        <w:widowControl w:val="0"/>
        <w:ind w:hanging="2"/>
        <w:rPr>
          <w:rFonts w:ascii="Arial" w:eastAsia="Arial" w:hAnsi="Arial" w:cs="Arial"/>
        </w:rPr>
      </w:pPr>
      <w:r>
        <w:rPr>
          <w:rFonts w:ascii="Arial" w:eastAsia="Arial" w:hAnsi="Arial" w:cs="Arial"/>
          <w:b/>
        </w:rPr>
        <w:t>Tema: Trabajo Final Integrador</w:t>
      </w:r>
    </w:p>
    <w:p w:rsidR="00287724" w:rsidRDefault="00287724">
      <w:pPr>
        <w:widowControl w:val="0"/>
        <w:rPr>
          <w:rFonts w:ascii="Arial" w:eastAsia="Arial" w:hAnsi="Arial" w:cs="Arial"/>
        </w:rPr>
      </w:pPr>
    </w:p>
    <w:p w:rsidR="00287724" w:rsidRDefault="00287724">
      <w:pPr>
        <w:widowControl w:val="0"/>
        <w:ind w:hanging="2"/>
        <w:rPr>
          <w:rFonts w:ascii="Arial" w:eastAsia="Arial" w:hAnsi="Arial" w:cs="Arial"/>
        </w:rPr>
      </w:pPr>
    </w:p>
    <w:p w:rsidR="00287724" w:rsidRDefault="00916EC4">
      <w:pPr>
        <w:widowControl w:val="0"/>
        <w:ind w:hanging="2"/>
        <w:rPr>
          <w:rFonts w:ascii="Arial" w:eastAsia="Arial" w:hAnsi="Arial" w:cs="Arial"/>
        </w:rPr>
      </w:pPr>
      <w:r>
        <w:rPr>
          <w:rFonts w:ascii="Arial" w:eastAsia="Arial" w:hAnsi="Arial" w:cs="Arial"/>
          <w:b/>
        </w:rPr>
        <w:t>Autora: Nadia Paola De Llamas Martínez</w:t>
      </w:r>
    </w:p>
    <w:p w:rsidR="00287724" w:rsidRDefault="00287724">
      <w:pPr>
        <w:widowControl w:val="0"/>
        <w:ind w:hanging="2"/>
        <w:rPr>
          <w:rFonts w:ascii="Arial" w:eastAsia="Arial" w:hAnsi="Arial" w:cs="Arial"/>
        </w:rPr>
      </w:pPr>
    </w:p>
    <w:p w:rsidR="00287724" w:rsidRDefault="00287724">
      <w:pPr>
        <w:widowControl w:val="0"/>
        <w:ind w:hanging="2"/>
        <w:rPr>
          <w:rFonts w:ascii="Arial" w:eastAsia="Arial" w:hAnsi="Arial" w:cs="Arial"/>
        </w:rPr>
      </w:pPr>
    </w:p>
    <w:p w:rsidR="00287724" w:rsidRDefault="00916EC4">
      <w:pPr>
        <w:widowControl w:val="0"/>
        <w:ind w:hanging="2"/>
        <w:rPr>
          <w:rFonts w:ascii="Arial" w:eastAsia="Arial" w:hAnsi="Arial" w:cs="Arial"/>
        </w:rPr>
      </w:pPr>
      <w:r>
        <w:rPr>
          <w:rFonts w:ascii="Arial" w:eastAsia="Arial" w:hAnsi="Arial" w:cs="Arial"/>
          <w:b/>
        </w:rPr>
        <w:t>Director: Dr. Achares Di Orio Federico</w:t>
      </w:r>
    </w:p>
    <w:p w:rsidR="00287724" w:rsidRDefault="00287724">
      <w:pPr>
        <w:widowControl w:val="0"/>
        <w:ind w:hanging="2"/>
      </w:pPr>
    </w:p>
    <w:p w:rsidR="00287724" w:rsidRDefault="00287724">
      <w:pPr>
        <w:widowControl w:val="0"/>
        <w:ind w:hanging="2"/>
      </w:pPr>
    </w:p>
    <w:p w:rsidR="00287724" w:rsidRDefault="00287724">
      <w:pPr>
        <w:widowControl w:val="0"/>
        <w:ind w:hanging="2"/>
      </w:pPr>
    </w:p>
    <w:p w:rsidR="00287724" w:rsidRDefault="00916EC4">
      <w:pPr>
        <w:widowControl w:val="0"/>
        <w:ind w:hanging="2"/>
        <w:jc w:val="center"/>
        <w:rPr>
          <w:rFonts w:ascii="Arial" w:eastAsia="Arial" w:hAnsi="Arial" w:cs="Arial"/>
        </w:rPr>
      </w:pPr>
      <w:r>
        <w:rPr>
          <w:rFonts w:ascii="Arial" w:eastAsia="Arial" w:hAnsi="Arial" w:cs="Arial"/>
          <w:b/>
        </w:rPr>
        <w:t>Fecha: 15 de abril 2025</w:t>
      </w:r>
    </w:p>
    <w:p w:rsidR="00287724" w:rsidRDefault="00287724">
      <w:pPr>
        <w:widowControl w:val="0"/>
      </w:pPr>
    </w:p>
    <w:p w:rsidR="00287724" w:rsidRDefault="00916EC4">
      <w:pPr>
        <w:rPr>
          <w:rFonts w:ascii="Arial" w:eastAsia="Arial" w:hAnsi="Arial" w:cs="Arial"/>
          <w:b/>
          <w:sz w:val="22"/>
          <w:szCs w:val="22"/>
          <w:u w:val="single"/>
        </w:rPr>
      </w:pPr>
      <w:r>
        <w:br w:type="page"/>
      </w:r>
    </w:p>
    <w:p w:rsidR="00287724" w:rsidRDefault="00916EC4">
      <w:pPr>
        <w:widowControl w:val="0"/>
      </w:pPr>
      <w:r>
        <w:rPr>
          <w:rFonts w:ascii="Arial" w:eastAsia="Arial" w:hAnsi="Arial" w:cs="Arial"/>
          <w:b/>
          <w:sz w:val="22"/>
          <w:szCs w:val="22"/>
          <w:u w:val="single"/>
        </w:rPr>
        <w:lastRenderedPageBreak/>
        <w:t>Resumen</w:t>
      </w:r>
      <w:r>
        <w:rPr>
          <w:rFonts w:ascii="Arial" w:eastAsia="Arial" w:hAnsi="Arial" w:cs="Arial"/>
          <w:sz w:val="22"/>
          <w:szCs w:val="22"/>
        </w:rPr>
        <w:t>: Se presenta el Caso N.º 3, donde se analizan 3 consignas en la primera de ellas se trata el tema del desapoderamiento y su efecto inmediato una vez declarada la quiebra. No pudiendo el fallido hacer ningún tipo de operatoria ya que es un efecto que se da</w:t>
      </w:r>
      <w:r>
        <w:rPr>
          <w:rFonts w:ascii="Arial" w:eastAsia="Arial" w:hAnsi="Arial" w:cs="Arial"/>
          <w:sz w:val="22"/>
          <w:szCs w:val="22"/>
        </w:rPr>
        <w:t xml:space="preserve"> en forma automática una vez declarada la quiebra. Principalmente se denota para el caso planteado lo siguiente:</w:t>
      </w:r>
    </w:p>
    <w:p w:rsidR="00287724" w:rsidRDefault="00916EC4">
      <w:pPr>
        <w:spacing w:line="360" w:lineRule="auto"/>
        <w:ind w:left="-2"/>
        <w:jc w:val="both"/>
        <w:rPr>
          <w:rFonts w:ascii="Arial" w:eastAsia="Arial" w:hAnsi="Arial" w:cs="Arial"/>
          <w:sz w:val="22"/>
          <w:szCs w:val="22"/>
        </w:rPr>
      </w:pPr>
      <w:r>
        <w:rPr>
          <w:rFonts w:ascii="Arial" w:eastAsia="Arial" w:hAnsi="Arial" w:cs="Arial"/>
          <w:b/>
          <w:sz w:val="22"/>
          <w:szCs w:val="22"/>
        </w:rPr>
        <w:t>La Ineficacia de Actos Posquiebra</w:t>
      </w:r>
      <w:r>
        <w:rPr>
          <w:rFonts w:ascii="Arial" w:eastAsia="Arial" w:hAnsi="Arial" w:cs="Arial"/>
          <w:sz w:val="22"/>
          <w:szCs w:val="22"/>
        </w:rPr>
        <w:t>: La ley establece que cualquier acto realizado por un fallido después de la declaración de quiebra es ineficaz, ya que el control de sus bienes pasa a ser administrado por un síndico.</w:t>
      </w:r>
    </w:p>
    <w:p w:rsidR="00287724" w:rsidRDefault="00916EC4">
      <w:pPr>
        <w:spacing w:line="360" w:lineRule="auto"/>
        <w:ind w:left="-2"/>
        <w:jc w:val="both"/>
        <w:rPr>
          <w:rFonts w:ascii="Arial" w:eastAsia="Arial" w:hAnsi="Arial" w:cs="Arial"/>
          <w:sz w:val="22"/>
          <w:szCs w:val="22"/>
        </w:rPr>
      </w:pPr>
      <w:r>
        <w:rPr>
          <w:rFonts w:ascii="Arial" w:eastAsia="Arial" w:hAnsi="Arial" w:cs="Arial"/>
          <w:b/>
          <w:sz w:val="22"/>
          <w:szCs w:val="22"/>
        </w:rPr>
        <w:t xml:space="preserve">Desapoderamiento Automático: </w:t>
      </w:r>
      <w:r>
        <w:rPr>
          <w:rFonts w:ascii="Arial" w:eastAsia="Arial" w:hAnsi="Arial" w:cs="Arial"/>
          <w:sz w:val="22"/>
          <w:szCs w:val="22"/>
        </w:rPr>
        <w:t>Desde la declaración de quiebra, el fallid</w:t>
      </w:r>
      <w:r>
        <w:rPr>
          <w:rFonts w:ascii="Arial" w:eastAsia="Arial" w:hAnsi="Arial" w:cs="Arial"/>
          <w:sz w:val="22"/>
          <w:szCs w:val="22"/>
        </w:rPr>
        <w:t>o no puede disponer de sus bienes, y el desapoderamiento ocurre de inmediato, independientemente de la inscripción de ninguna inhibición.</w:t>
      </w:r>
    </w:p>
    <w:p w:rsidR="00287724" w:rsidRDefault="00916EC4">
      <w:pPr>
        <w:spacing w:line="360" w:lineRule="auto"/>
        <w:ind w:left="-2"/>
        <w:jc w:val="both"/>
        <w:rPr>
          <w:rFonts w:ascii="Arial" w:eastAsia="Arial" w:hAnsi="Arial" w:cs="Arial"/>
          <w:sz w:val="22"/>
          <w:szCs w:val="22"/>
        </w:rPr>
      </w:pPr>
      <w:r>
        <w:rPr>
          <w:rFonts w:ascii="Arial" w:eastAsia="Arial" w:hAnsi="Arial" w:cs="Arial"/>
          <w:b/>
          <w:sz w:val="22"/>
          <w:szCs w:val="22"/>
        </w:rPr>
        <w:t>Irrelevancia de la Buena Fe</w:t>
      </w:r>
      <w:r>
        <w:rPr>
          <w:rFonts w:ascii="Arial" w:eastAsia="Arial" w:hAnsi="Arial" w:cs="Arial"/>
          <w:sz w:val="22"/>
          <w:szCs w:val="22"/>
        </w:rPr>
        <w:t>: La validez de la venta no se ve afectada por si el comprador actuó de buena fe o si no ex</w:t>
      </w:r>
      <w:r>
        <w:rPr>
          <w:rFonts w:ascii="Arial" w:eastAsia="Arial" w:hAnsi="Arial" w:cs="Arial"/>
          <w:sz w:val="22"/>
          <w:szCs w:val="22"/>
        </w:rPr>
        <w:t>istió un registro de la inhibición; la venta es nula frente a los acreedores.</w:t>
      </w:r>
    </w:p>
    <w:p w:rsidR="00287724" w:rsidRDefault="00916EC4">
      <w:pPr>
        <w:spacing w:line="360" w:lineRule="auto"/>
        <w:ind w:left="-2"/>
        <w:jc w:val="both"/>
        <w:rPr>
          <w:rFonts w:ascii="Arial" w:eastAsia="Arial" w:hAnsi="Arial" w:cs="Arial"/>
          <w:sz w:val="22"/>
          <w:szCs w:val="22"/>
        </w:rPr>
      </w:pPr>
      <w:r>
        <w:rPr>
          <w:rFonts w:ascii="Arial" w:eastAsia="Arial" w:hAnsi="Arial" w:cs="Arial"/>
          <w:b/>
          <w:sz w:val="22"/>
          <w:szCs w:val="22"/>
        </w:rPr>
        <w:t>Protección de Acreedores:</w:t>
      </w:r>
      <w:r>
        <w:rPr>
          <w:rFonts w:ascii="Arial" w:eastAsia="Arial" w:hAnsi="Arial" w:cs="Arial"/>
          <w:sz w:val="22"/>
          <w:szCs w:val="22"/>
        </w:rPr>
        <w:t xml:space="preserve"> La ley busca proteger los intereses de todos los acreedores, lo que significa que el comprador no puede reclamar el bien vendido tras la quiebra.</w:t>
      </w:r>
    </w:p>
    <w:p w:rsidR="00287724" w:rsidRDefault="00916EC4">
      <w:pPr>
        <w:spacing w:line="360" w:lineRule="auto"/>
        <w:ind w:left="-2"/>
        <w:jc w:val="both"/>
        <w:rPr>
          <w:rFonts w:ascii="Arial" w:eastAsia="Arial" w:hAnsi="Arial" w:cs="Arial"/>
          <w:sz w:val="22"/>
          <w:szCs w:val="22"/>
        </w:rPr>
      </w:pPr>
      <w:r>
        <w:rPr>
          <w:rFonts w:ascii="Arial" w:eastAsia="Arial" w:hAnsi="Arial" w:cs="Arial"/>
          <w:b/>
          <w:sz w:val="22"/>
          <w:szCs w:val="22"/>
        </w:rPr>
        <w:t>Indisp</w:t>
      </w:r>
      <w:r>
        <w:rPr>
          <w:rFonts w:ascii="Arial" w:eastAsia="Arial" w:hAnsi="Arial" w:cs="Arial"/>
          <w:b/>
          <w:sz w:val="22"/>
          <w:szCs w:val="22"/>
        </w:rPr>
        <w:t>onibilidad Automática</w:t>
      </w:r>
      <w:r>
        <w:rPr>
          <w:rFonts w:ascii="Arial" w:eastAsia="Arial" w:hAnsi="Arial" w:cs="Arial"/>
          <w:sz w:val="22"/>
          <w:szCs w:val="22"/>
        </w:rPr>
        <w:t>: La declaración de quiebra conlleva automáticamente la indisponibilidad de los bienes del fallido.</w:t>
      </w:r>
    </w:p>
    <w:p w:rsidR="00287724" w:rsidRDefault="00916EC4">
      <w:pPr>
        <w:spacing w:line="360" w:lineRule="auto"/>
        <w:ind w:left="-2"/>
        <w:jc w:val="both"/>
        <w:rPr>
          <w:rFonts w:ascii="Arial" w:eastAsia="Arial" w:hAnsi="Arial" w:cs="Arial"/>
          <w:sz w:val="22"/>
          <w:szCs w:val="22"/>
        </w:rPr>
      </w:pPr>
      <w:r>
        <w:rPr>
          <w:rFonts w:ascii="Arial" w:eastAsia="Arial" w:hAnsi="Arial" w:cs="Arial"/>
          <w:b/>
          <w:sz w:val="22"/>
          <w:szCs w:val="22"/>
        </w:rPr>
        <w:t xml:space="preserve">Decisión Judicial: </w:t>
      </w:r>
      <w:r>
        <w:rPr>
          <w:rFonts w:ascii="Arial" w:eastAsia="Arial" w:hAnsi="Arial" w:cs="Arial"/>
          <w:sz w:val="22"/>
          <w:szCs w:val="22"/>
        </w:rPr>
        <w:t>El tribunal puede declarar la ineficacia de la venta sin necesidad de un proceso adicional, priorizando el interés p</w:t>
      </w:r>
      <w:r>
        <w:rPr>
          <w:rFonts w:ascii="Arial" w:eastAsia="Arial" w:hAnsi="Arial" w:cs="Arial"/>
          <w:sz w:val="22"/>
          <w:szCs w:val="22"/>
        </w:rPr>
        <w:t>úblico y la equidad entre los acreedores.</w:t>
      </w:r>
    </w:p>
    <w:p w:rsidR="00287724" w:rsidRDefault="00916EC4">
      <w:pPr>
        <w:widowControl w:val="0"/>
        <w:spacing w:line="360" w:lineRule="auto"/>
        <w:jc w:val="both"/>
        <w:rPr>
          <w:rFonts w:ascii="Arial" w:eastAsia="Arial" w:hAnsi="Arial" w:cs="Arial"/>
          <w:color w:val="000000"/>
          <w:sz w:val="22"/>
          <w:szCs w:val="22"/>
          <w:highlight w:val="white"/>
        </w:rPr>
      </w:pPr>
      <w:r>
        <w:rPr>
          <w:rFonts w:ascii="Arial" w:eastAsia="Arial" w:hAnsi="Arial" w:cs="Arial"/>
          <w:b/>
          <w:color w:val="000000"/>
          <w:sz w:val="22"/>
          <w:szCs w:val="22"/>
          <w:highlight w:val="white"/>
        </w:rPr>
        <w:t>En la segunda consigna</w:t>
      </w:r>
      <w:r>
        <w:rPr>
          <w:rFonts w:ascii="Arial" w:eastAsia="Arial" w:hAnsi="Arial" w:cs="Arial"/>
          <w:color w:val="000000"/>
          <w:sz w:val="22"/>
          <w:szCs w:val="22"/>
          <w:highlight w:val="white"/>
        </w:rPr>
        <w:t xml:space="preserve"> se presenta un Informe individual </w:t>
      </w:r>
      <w:r>
        <w:rPr>
          <w:rFonts w:ascii="Arial" w:eastAsia="Arial" w:hAnsi="Arial" w:cs="Arial"/>
          <w:color w:val="000000"/>
          <w:sz w:val="22"/>
          <w:szCs w:val="22"/>
        </w:rPr>
        <w:br/>
      </w:r>
      <w:r>
        <w:rPr>
          <w:rFonts w:ascii="Arial" w:eastAsia="Arial" w:hAnsi="Arial" w:cs="Arial"/>
          <w:color w:val="000000"/>
          <w:sz w:val="22"/>
          <w:szCs w:val="22"/>
          <w:highlight w:val="white"/>
        </w:rPr>
        <w:t>el cual incluye detalles sobre el acreedor, el apoderado, el monto del crédito solicitado, y observa que no se solicita ningún privilegio, mencionando el co</w:t>
      </w:r>
      <w:r>
        <w:rPr>
          <w:rFonts w:ascii="Arial" w:eastAsia="Arial" w:hAnsi="Arial" w:cs="Arial"/>
          <w:color w:val="000000"/>
          <w:sz w:val="22"/>
          <w:szCs w:val="22"/>
          <w:highlight w:val="white"/>
        </w:rPr>
        <w:t>sto del arancel verificador. Aporta documentación justificativa que incluye el boleto de compraventa y la constancia de transferencia bancarias. Sin embargo, se destaca la impugnación de otro acreedor y se reitera que el inmueble está en posesión del falli</w:t>
      </w:r>
      <w:r>
        <w:rPr>
          <w:rFonts w:ascii="Arial" w:eastAsia="Arial" w:hAnsi="Arial" w:cs="Arial"/>
          <w:color w:val="000000"/>
          <w:sz w:val="22"/>
          <w:szCs w:val="22"/>
          <w:highlight w:val="white"/>
        </w:rPr>
        <w:t>do.</w:t>
      </w:r>
    </w:p>
    <w:p w:rsidR="00287724" w:rsidRDefault="00916EC4">
      <w:pPr>
        <w:widowControl w:val="0"/>
        <w:spacing w:line="360" w:lineRule="auto"/>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En el mencionado Informe como sindicatura opino que, a pesar de que el comprador ha pagado más del 25% del precio y el boleto tiene fecha cierta, hay dudas sobre la buena fe de la transacción debido a que el fallido aún mantiene la posesión del terreno</w:t>
      </w:r>
      <w:r>
        <w:rPr>
          <w:rFonts w:ascii="Arial" w:eastAsia="Arial" w:hAnsi="Arial" w:cs="Arial"/>
          <w:color w:val="000000"/>
          <w:sz w:val="22"/>
          <w:szCs w:val="22"/>
          <w:highlight w:val="white"/>
        </w:rPr>
        <w:t>. Según la ley, para que el boleto de compraventa sea oponible en un concurso o quiebra, es necesario verificar la buena fe y la posesión del bien. La falta de posesión por parte del comprador es un indicativo de posible mala fe</w:t>
      </w:r>
    </w:p>
    <w:p w:rsidR="00287724" w:rsidRDefault="00916EC4">
      <w:pPr>
        <w:widowControl w:val="0"/>
        <w:spacing w:line="360" w:lineRule="auto"/>
        <w:jc w:val="both"/>
        <w:rPr>
          <w:rFonts w:ascii="Arial" w:eastAsia="Arial" w:hAnsi="Arial" w:cs="Arial"/>
          <w:color w:val="000000"/>
          <w:sz w:val="22"/>
          <w:szCs w:val="22"/>
        </w:rPr>
      </w:pPr>
      <w:r>
        <w:rPr>
          <w:rFonts w:ascii="Arial" w:eastAsia="Arial" w:hAnsi="Arial" w:cs="Arial"/>
          <w:color w:val="000000"/>
          <w:sz w:val="22"/>
          <w:szCs w:val="22"/>
        </w:rPr>
        <w:t xml:space="preserve"> </w:t>
      </w:r>
      <w:r>
        <w:rPr>
          <w:rFonts w:ascii="Arial" w:eastAsia="Arial" w:hAnsi="Arial" w:cs="Arial"/>
          <w:color w:val="000000"/>
          <w:sz w:val="22"/>
          <w:szCs w:val="22"/>
          <w:highlight w:val="white"/>
        </w:rPr>
        <w:t>Además, abordo la interpre</w:t>
      </w:r>
      <w:r>
        <w:rPr>
          <w:rFonts w:ascii="Arial" w:eastAsia="Arial" w:hAnsi="Arial" w:cs="Arial"/>
          <w:color w:val="000000"/>
          <w:sz w:val="22"/>
          <w:szCs w:val="22"/>
          <w:highlight w:val="white"/>
        </w:rPr>
        <w:t>tación de varios artículos de la ley, destacando que ni el Código Civil ni el de Concursos exigen que el comprador tenga la posesión, pero se presume que la buena fe no se cumple sin ella. Las objeciones de otros acreedores y las circunstancias del caso le</w:t>
      </w:r>
      <w:r>
        <w:rPr>
          <w:rFonts w:ascii="Arial" w:eastAsia="Arial" w:hAnsi="Arial" w:cs="Arial"/>
          <w:color w:val="000000"/>
          <w:sz w:val="22"/>
          <w:szCs w:val="22"/>
          <w:highlight w:val="white"/>
        </w:rPr>
        <w:t>vantan sospechas de que el acuerdo pueda ser fraudulento.</w:t>
      </w:r>
      <w:r>
        <w:rPr>
          <w:rFonts w:ascii="Arial" w:eastAsia="Arial" w:hAnsi="Arial" w:cs="Arial"/>
          <w:color w:val="000000"/>
          <w:sz w:val="22"/>
          <w:szCs w:val="22"/>
        </w:rPr>
        <w:br/>
      </w:r>
      <w:r>
        <w:rPr>
          <w:rFonts w:ascii="Arial" w:eastAsia="Arial" w:hAnsi="Arial" w:cs="Arial"/>
          <w:color w:val="000000"/>
          <w:sz w:val="22"/>
          <w:szCs w:val="22"/>
          <w:highlight w:val="white"/>
        </w:rPr>
        <w:t>Como propuesta final sugiero rechazar la verificación del crédito basado en antecedentes y fallos legales que refuerzan la necesidad de poseer el bien para que una transacción sea válida en el conte</w:t>
      </w:r>
      <w:r>
        <w:rPr>
          <w:rFonts w:ascii="Arial" w:eastAsia="Arial" w:hAnsi="Arial" w:cs="Arial"/>
          <w:color w:val="000000"/>
          <w:sz w:val="22"/>
          <w:szCs w:val="22"/>
          <w:highlight w:val="white"/>
        </w:rPr>
        <w:t xml:space="preserve">xto concursal. El informe concluye reconociendo que, si se cumplen las condiciones de buena fe y pago anticipado, se deben proteger los derechos del comprador, pero por las evidencias en este caso, se sugiere que la verificación no debe ser aceptada. Esto </w:t>
      </w:r>
      <w:r>
        <w:rPr>
          <w:rFonts w:ascii="Arial" w:eastAsia="Arial" w:hAnsi="Arial" w:cs="Arial"/>
          <w:color w:val="000000"/>
          <w:sz w:val="22"/>
          <w:szCs w:val="22"/>
          <w:highlight w:val="white"/>
        </w:rPr>
        <w:t>se fundamenta en varias sentencias que rechazan la escrituración sin posesión y subrayan el riesgo de fraude en las transacciones.</w:t>
      </w:r>
    </w:p>
    <w:p w:rsidR="00287724" w:rsidRDefault="00916EC4">
      <w:pPr>
        <w:widowControl w:val="0"/>
        <w:spacing w:line="360" w:lineRule="auto"/>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 xml:space="preserve">Por último, se presenta la </w:t>
      </w:r>
      <w:r>
        <w:rPr>
          <w:rFonts w:ascii="Arial" w:eastAsia="Arial" w:hAnsi="Arial" w:cs="Arial"/>
          <w:b/>
          <w:color w:val="000000"/>
          <w:sz w:val="22"/>
          <w:szCs w:val="22"/>
          <w:highlight w:val="white"/>
        </w:rPr>
        <w:t>tercera consigna</w:t>
      </w:r>
      <w:r>
        <w:rPr>
          <w:rFonts w:ascii="Arial" w:eastAsia="Arial" w:hAnsi="Arial" w:cs="Arial"/>
          <w:color w:val="000000"/>
          <w:sz w:val="22"/>
          <w:szCs w:val="22"/>
          <w:highlight w:val="white"/>
        </w:rPr>
        <w:t xml:space="preserve"> que plantea la contestación de una vista que se le cursa a la Sindicatura por el </w:t>
      </w:r>
      <w:r>
        <w:rPr>
          <w:rFonts w:ascii="Arial" w:eastAsia="Arial" w:hAnsi="Arial" w:cs="Arial"/>
          <w:color w:val="000000"/>
          <w:sz w:val="22"/>
          <w:szCs w:val="22"/>
          <w:highlight w:val="white"/>
        </w:rPr>
        <w:t>rechazo del modo de conclusión de la quiebra por avenimiento, mencionando el tema de los juicios de conocimiento y de un posible acreedor que no participo en la verificación de los créditos.</w:t>
      </w:r>
    </w:p>
    <w:p w:rsidR="00287724" w:rsidRDefault="00916EC4">
      <w:pPr>
        <w:widowControl w:val="0"/>
        <w:spacing w:line="360" w:lineRule="auto"/>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Como tema principal se destaca que solo los acreedores que han ve</w:t>
      </w:r>
      <w:r>
        <w:rPr>
          <w:rFonts w:ascii="Arial" w:eastAsia="Arial" w:hAnsi="Arial" w:cs="Arial"/>
          <w:color w:val="000000"/>
          <w:sz w:val="22"/>
          <w:szCs w:val="22"/>
          <w:highlight w:val="white"/>
        </w:rPr>
        <w:t>rificado su crédito pueden oponerse al acuerdo. Aquellos que no lo han hecho no pueden ser considerados acreedores. Además, se menciona que, tras la conclusión del procedimiento por acuerdo, los acreedores que no participaron pueden ejercer acciones indivi</w:t>
      </w:r>
      <w:r>
        <w:rPr>
          <w:rFonts w:ascii="Arial" w:eastAsia="Arial" w:hAnsi="Arial" w:cs="Arial"/>
          <w:color w:val="000000"/>
          <w:sz w:val="22"/>
          <w:szCs w:val="22"/>
          <w:highlight w:val="white"/>
        </w:rPr>
        <w:t>duales como si la quiebra no hubiera ocurrido.</w:t>
      </w:r>
    </w:p>
    <w:p w:rsidR="00287724" w:rsidRDefault="00916EC4">
      <w:pPr>
        <w:widowControl w:val="0"/>
        <w:spacing w:line="360" w:lineRule="auto"/>
        <w:jc w:val="both"/>
        <w:rPr>
          <w:rFonts w:ascii="Arial" w:eastAsia="Arial" w:hAnsi="Arial" w:cs="Arial"/>
          <w:color w:val="000000"/>
          <w:sz w:val="22"/>
          <w:szCs w:val="22"/>
        </w:rPr>
      </w:pPr>
      <w:r>
        <w:rPr>
          <w:rFonts w:ascii="Arial" w:eastAsia="Arial" w:hAnsi="Arial" w:cs="Arial"/>
          <w:color w:val="000000"/>
          <w:sz w:val="22"/>
          <w:szCs w:val="22"/>
        </w:rPr>
        <w:t xml:space="preserve"> </w:t>
      </w:r>
      <w:r>
        <w:rPr>
          <w:color w:val="000000"/>
          <w:sz w:val="22"/>
          <w:szCs w:val="22"/>
          <w:highlight w:val="white"/>
        </w:rPr>
        <w:t>Asimismo, se</w:t>
      </w:r>
      <w:r>
        <w:rPr>
          <w:rFonts w:ascii="Arial" w:eastAsia="Arial" w:hAnsi="Arial" w:cs="Arial"/>
          <w:color w:val="000000"/>
          <w:sz w:val="22"/>
          <w:szCs w:val="22"/>
          <w:highlight w:val="white"/>
        </w:rPr>
        <w:t xml:space="preserve"> cita la opinión de expertos que refuerzan que los acreedores que no se hayan presentado pueden reclamar el cumplimiento de las obligaciones. El acuerdo debe contar con la aceptación unánime de todos los acreedores que han verificado y que son considerados</w:t>
      </w:r>
      <w:r>
        <w:rPr>
          <w:rFonts w:ascii="Arial" w:eastAsia="Arial" w:hAnsi="Arial" w:cs="Arial"/>
          <w:color w:val="000000"/>
          <w:sz w:val="22"/>
          <w:szCs w:val="22"/>
          <w:highlight w:val="white"/>
        </w:rPr>
        <w:t xml:space="preserve"> admisibles. En este caso, de los doce acreedores, diez aceptaron el acuerdo y un tercero asumió la deuda de los dos restantes, lo que cumple con el requisito para concluir la quiebra.</w:t>
      </w:r>
    </w:p>
    <w:p w:rsidR="00287724" w:rsidRDefault="00916EC4">
      <w:pPr>
        <w:widowControl w:val="0"/>
        <w:spacing w:line="360" w:lineRule="auto"/>
        <w:jc w:val="both"/>
        <w:rPr>
          <w:color w:val="000000"/>
          <w:sz w:val="22"/>
          <w:szCs w:val="22"/>
          <w:shd w:val="clear" w:color="auto" w:fill="F3F7FB"/>
        </w:rPr>
      </w:pPr>
      <w:r>
        <w:rPr>
          <w:color w:val="000000"/>
          <w:sz w:val="22"/>
          <w:szCs w:val="22"/>
        </w:rPr>
        <w:t xml:space="preserve"> </w:t>
      </w:r>
      <w:r>
        <w:rPr>
          <w:rFonts w:ascii="Arial" w:eastAsia="Arial" w:hAnsi="Arial" w:cs="Arial"/>
          <w:color w:val="000000"/>
          <w:sz w:val="22"/>
          <w:szCs w:val="22"/>
          <w:highlight w:val="white"/>
        </w:rPr>
        <w:t>Se aclara que un acreedor que siga un juicio individual y no se haya p</w:t>
      </w:r>
      <w:r>
        <w:rPr>
          <w:rFonts w:ascii="Arial" w:eastAsia="Arial" w:hAnsi="Arial" w:cs="Arial"/>
          <w:color w:val="000000"/>
          <w:sz w:val="22"/>
          <w:szCs w:val="22"/>
          <w:highlight w:val="white"/>
        </w:rPr>
        <w:t>resentado no debe ser contado al calcular los acreedores que aceptan el acuerdo, lo que permite que se considere el convenio. Aquellos que persisten fuera del proceso concursal no tienen limitaciones en sus reclamos. </w:t>
      </w:r>
      <w:r>
        <w:rPr>
          <w:rFonts w:ascii="Arial" w:eastAsia="Arial" w:hAnsi="Arial" w:cs="Arial"/>
          <w:color w:val="000000"/>
          <w:sz w:val="22"/>
          <w:szCs w:val="22"/>
          <w:shd w:val="clear" w:color="auto" w:fill="F3F7FB"/>
        </w:rPr>
        <w:t xml:space="preserve">En conclusión, el fallo que rechazó la </w:t>
      </w:r>
      <w:r>
        <w:rPr>
          <w:rFonts w:ascii="Arial" w:eastAsia="Arial" w:hAnsi="Arial" w:cs="Arial"/>
          <w:color w:val="000000"/>
          <w:sz w:val="22"/>
          <w:szCs w:val="22"/>
          <w:shd w:val="clear" w:color="auto" w:fill="F3F7FB"/>
        </w:rPr>
        <w:t>solicitud del acuerdo es inapropiado y debería ser revertido</w:t>
      </w:r>
      <w:r>
        <w:rPr>
          <w:color w:val="000000"/>
          <w:sz w:val="22"/>
          <w:szCs w:val="22"/>
          <w:shd w:val="clear" w:color="auto" w:fill="F3F7FB"/>
        </w:rPr>
        <w:t>.</w:t>
      </w:r>
    </w:p>
    <w:p w:rsidR="00287724" w:rsidRDefault="00287724">
      <w:pPr>
        <w:widowControl w:val="0"/>
        <w:spacing w:line="360" w:lineRule="auto"/>
        <w:jc w:val="both"/>
        <w:rPr>
          <w:rFonts w:ascii="Arial" w:eastAsia="Arial" w:hAnsi="Arial" w:cs="Arial"/>
          <w:b/>
          <w:color w:val="000000"/>
          <w:sz w:val="22"/>
          <w:szCs w:val="22"/>
          <w:u w:val="single"/>
        </w:rPr>
      </w:pPr>
    </w:p>
    <w:p w:rsidR="00287724" w:rsidRDefault="00916EC4">
      <w:pPr>
        <w:widowControl w:val="0"/>
        <w:spacing w:line="360" w:lineRule="auto"/>
        <w:jc w:val="both"/>
        <w:rPr>
          <w:rFonts w:ascii="Arial" w:eastAsia="Arial" w:hAnsi="Arial" w:cs="Arial"/>
          <w:color w:val="000000"/>
          <w:sz w:val="22"/>
          <w:szCs w:val="22"/>
          <w:shd w:val="clear" w:color="auto" w:fill="F3F7FB"/>
        </w:rPr>
      </w:pPr>
      <w:r>
        <w:rPr>
          <w:rFonts w:ascii="Arial" w:eastAsia="Arial" w:hAnsi="Arial" w:cs="Arial"/>
          <w:b/>
          <w:color w:val="000000"/>
          <w:sz w:val="22"/>
          <w:szCs w:val="22"/>
          <w:u w:val="single"/>
        </w:rPr>
        <w:t>Palabras clave:</w:t>
      </w:r>
      <w:r>
        <w:rPr>
          <w:rFonts w:ascii="Arial" w:eastAsia="Arial" w:hAnsi="Arial" w:cs="Arial"/>
          <w:color w:val="000000"/>
          <w:sz w:val="22"/>
          <w:szCs w:val="22"/>
        </w:rPr>
        <w:t xml:space="preserve"> </w:t>
      </w:r>
      <w:r>
        <w:rPr>
          <w:rFonts w:ascii="Arial" w:eastAsia="Arial" w:hAnsi="Arial" w:cs="Arial"/>
          <w:sz w:val="22"/>
          <w:szCs w:val="22"/>
        </w:rPr>
        <w:t>DESAPODERAMIENTO – VERIFICACION – OPONIBILIDAD BOLETO DE COMPRAVENTA INMUEBLE- AVENIMIENTO Y JUICIO DE CONOCIMIENTO</w:t>
      </w:r>
      <w:r>
        <w:rPr>
          <w:rFonts w:ascii="Arial" w:eastAsia="Arial" w:hAnsi="Arial" w:cs="Arial"/>
          <w:i/>
          <w:sz w:val="22"/>
          <w:szCs w:val="22"/>
        </w:rPr>
        <w:t>.</w:t>
      </w:r>
      <w:r>
        <w:br w:type="page"/>
      </w:r>
    </w:p>
    <w:p w:rsidR="00287724" w:rsidRDefault="00916EC4">
      <w:pPr>
        <w:pBdr>
          <w:bottom w:val="single" w:sz="4" w:space="1" w:color="000000"/>
        </w:pBdr>
        <w:jc w:val="center"/>
        <w:rPr>
          <w:i/>
          <w:sz w:val="36"/>
          <w:szCs w:val="36"/>
        </w:rPr>
      </w:pPr>
      <w:r>
        <w:rPr>
          <w:i/>
          <w:sz w:val="36"/>
          <w:szCs w:val="36"/>
        </w:rPr>
        <w:t>INDICE GENERAL</w:t>
      </w:r>
    </w:p>
    <w:p w:rsidR="00287724" w:rsidRDefault="00916EC4">
      <w:pPr>
        <w:tabs>
          <w:tab w:val="left" w:pos="3735"/>
        </w:tabs>
        <w:jc w:val="both"/>
        <w:rPr>
          <w:sz w:val="36"/>
          <w:szCs w:val="36"/>
        </w:rPr>
      </w:pPr>
      <w:r>
        <w:rPr>
          <w:sz w:val="36"/>
          <w:szCs w:val="36"/>
        </w:rPr>
        <w:tab/>
      </w:r>
    </w:p>
    <w:p w:rsidR="00287724" w:rsidRDefault="00916EC4">
      <w:pPr>
        <w:tabs>
          <w:tab w:val="left" w:pos="3735"/>
        </w:tabs>
        <w:jc w:val="both"/>
        <w:rPr>
          <w:rFonts w:ascii="Arial" w:eastAsia="Arial" w:hAnsi="Arial" w:cs="Arial"/>
          <w:sz w:val="28"/>
          <w:szCs w:val="28"/>
        </w:rPr>
      </w:pPr>
      <w:r>
        <w:rPr>
          <w:rFonts w:ascii="Arial" w:eastAsia="Arial" w:hAnsi="Arial" w:cs="Arial"/>
          <w:sz w:val="28"/>
          <w:szCs w:val="28"/>
        </w:rPr>
        <w:t>CASO ASIGNADO N.º 3 – “Falitario, Juan Carlos s/ quiebra pedida por acreedor”.</w:t>
      </w:r>
    </w:p>
    <w:p w:rsidR="00287724" w:rsidRDefault="00916EC4">
      <w:pPr>
        <w:tabs>
          <w:tab w:val="left" w:pos="3735"/>
        </w:tabs>
        <w:jc w:val="both"/>
        <w:rPr>
          <w:rFonts w:ascii="Arial" w:eastAsia="Arial" w:hAnsi="Arial" w:cs="Arial"/>
          <w:sz w:val="28"/>
          <w:szCs w:val="28"/>
        </w:rPr>
      </w:pPr>
      <w:r>
        <w:rPr>
          <w:rFonts w:ascii="Arial" w:eastAsia="Arial" w:hAnsi="Arial" w:cs="Arial"/>
          <w:sz w:val="28"/>
          <w:szCs w:val="28"/>
        </w:rPr>
        <w:t>Primera Consigna: Caso Práctico transferencia de un automotor una vez declarada la quiebra……………………………………...Pág. 06-13</w:t>
      </w:r>
    </w:p>
    <w:p w:rsidR="00287724" w:rsidRDefault="00916EC4">
      <w:pPr>
        <w:tabs>
          <w:tab w:val="left" w:pos="3735"/>
        </w:tabs>
        <w:jc w:val="both"/>
        <w:rPr>
          <w:rFonts w:ascii="Arial" w:eastAsia="Arial" w:hAnsi="Arial" w:cs="Arial"/>
          <w:sz w:val="28"/>
          <w:szCs w:val="28"/>
        </w:rPr>
      </w:pPr>
      <w:r>
        <w:rPr>
          <w:rFonts w:ascii="Arial" w:eastAsia="Arial" w:hAnsi="Arial" w:cs="Arial"/>
          <w:sz w:val="28"/>
          <w:szCs w:val="28"/>
        </w:rPr>
        <w:t>Segunda Consigna: Informe Individual…….……………….Pág. 14-21</w:t>
      </w:r>
    </w:p>
    <w:p w:rsidR="00287724" w:rsidRDefault="00916EC4">
      <w:pPr>
        <w:tabs>
          <w:tab w:val="left" w:pos="3735"/>
        </w:tabs>
        <w:jc w:val="both"/>
        <w:rPr>
          <w:rFonts w:ascii="Arial" w:eastAsia="Arial" w:hAnsi="Arial" w:cs="Arial"/>
          <w:sz w:val="28"/>
          <w:szCs w:val="28"/>
        </w:rPr>
      </w:pPr>
      <w:r>
        <w:rPr>
          <w:rFonts w:ascii="Arial" w:eastAsia="Arial" w:hAnsi="Arial" w:cs="Arial"/>
          <w:sz w:val="28"/>
          <w:szCs w:val="28"/>
        </w:rPr>
        <w:t>Te</w:t>
      </w:r>
      <w:r>
        <w:rPr>
          <w:rFonts w:ascii="Arial" w:eastAsia="Arial" w:hAnsi="Arial" w:cs="Arial"/>
          <w:sz w:val="28"/>
          <w:szCs w:val="28"/>
        </w:rPr>
        <w:t>rcera Consigna: Contestación de Vista….……………….Pág. 22-26</w:t>
      </w:r>
    </w:p>
    <w:p w:rsidR="00287724" w:rsidRDefault="00916EC4">
      <w:pPr>
        <w:tabs>
          <w:tab w:val="left" w:pos="3735"/>
        </w:tabs>
        <w:spacing w:line="360" w:lineRule="auto"/>
        <w:jc w:val="both"/>
        <w:rPr>
          <w:rFonts w:ascii="Arial" w:eastAsia="Arial" w:hAnsi="Arial" w:cs="Arial"/>
          <w:sz w:val="28"/>
          <w:szCs w:val="28"/>
        </w:rPr>
      </w:pPr>
      <w:r>
        <w:rPr>
          <w:rFonts w:ascii="Arial" w:eastAsia="Arial" w:hAnsi="Arial" w:cs="Arial"/>
          <w:sz w:val="28"/>
          <w:szCs w:val="28"/>
        </w:rPr>
        <w:t>Bibliografía…………………………….…………...………….Pág. 27-28</w:t>
      </w:r>
    </w:p>
    <w:p w:rsidR="00287724" w:rsidRDefault="00287724">
      <w:pPr>
        <w:tabs>
          <w:tab w:val="left" w:pos="3735"/>
        </w:tabs>
        <w:spacing w:line="360" w:lineRule="auto"/>
        <w:jc w:val="both"/>
        <w:rPr>
          <w:sz w:val="28"/>
          <w:szCs w:val="28"/>
        </w:rPr>
      </w:pPr>
    </w:p>
    <w:p w:rsidR="00287724" w:rsidRDefault="00287724">
      <w:pPr>
        <w:tabs>
          <w:tab w:val="left" w:pos="3735"/>
        </w:tabs>
        <w:spacing w:line="360" w:lineRule="auto"/>
        <w:jc w:val="both"/>
        <w:rPr>
          <w:sz w:val="36"/>
          <w:szCs w:val="36"/>
        </w:rPr>
      </w:pPr>
    </w:p>
    <w:p w:rsidR="00287724" w:rsidRDefault="00287724">
      <w:pPr>
        <w:tabs>
          <w:tab w:val="left" w:pos="3735"/>
        </w:tabs>
        <w:spacing w:line="360" w:lineRule="auto"/>
        <w:jc w:val="both"/>
        <w:rPr>
          <w:sz w:val="36"/>
          <w:szCs w:val="36"/>
        </w:rPr>
      </w:pPr>
    </w:p>
    <w:p w:rsidR="00287724" w:rsidRDefault="00287724">
      <w:pPr>
        <w:tabs>
          <w:tab w:val="left" w:pos="3735"/>
        </w:tabs>
        <w:spacing w:line="360" w:lineRule="auto"/>
        <w:jc w:val="both"/>
        <w:rPr>
          <w:sz w:val="36"/>
          <w:szCs w:val="36"/>
        </w:rPr>
      </w:pPr>
    </w:p>
    <w:p w:rsidR="00287724" w:rsidRDefault="00287724">
      <w:pPr>
        <w:tabs>
          <w:tab w:val="left" w:pos="3735"/>
        </w:tabs>
        <w:spacing w:line="360" w:lineRule="auto"/>
        <w:jc w:val="both"/>
        <w:rPr>
          <w:sz w:val="36"/>
          <w:szCs w:val="36"/>
        </w:rPr>
      </w:pPr>
    </w:p>
    <w:p w:rsidR="00287724" w:rsidRDefault="00287724">
      <w:pPr>
        <w:tabs>
          <w:tab w:val="left" w:pos="3735"/>
        </w:tabs>
        <w:spacing w:line="360" w:lineRule="auto"/>
        <w:jc w:val="both"/>
        <w:rPr>
          <w:sz w:val="36"/>
          <w:szCs w:val="36"/>
        </w:rPr>
      </w:pPr>
    </w:p>
    <w:p w:rsidR="00287724" w:rsidRDefault="00287724">
      <w:pPr>
        <w:tabs>
          <w:tab w:val="left" w:pos="3735"/>
        </w:tabs>
        <w:spacing w:line="360" w:lineRule="auto"/>
        <w:jc w:val="both"/>
        <w:rPr>
          <w:sz w:val="36"/>
          <w:szCs w:val="36"/>
        </w:rPr>
      </w:pPr>
    </w:p>
    <w:p w:rsidR="00287724" w:rsidRDefault="00287724">
      <w:pPr>
        <w:tabs>
          <w:tab w:val="left" w:pos="3735"/>
        </w:tabs>
        <w:spacing w:line="360" w:lineRule="auto"/>
        <w:jc w:val="both"/>
        <w:rPr>
          <w:sz w:val="36"/>
          <w:szCs w:val="36"/>
        </w:rPr>
      </w:pPr>
    </w:p>
    <w:p w:rsidR="00287724" w:rsidRDefault="00287724">
      <w:pPr>
        <w:tabs>
          <w:tab w:val="left" w:pos="3735"/>
        </w:tabs>
        <w:spacing w:line="360" w:lineRule="auto"/>
        <w:jc w:val="both"/>
        <w:rPr>
          <w:sz w:val="36"/>
          <w:szCs w:val="36"/>
        </w:rPr>
      </w:pPr>
    </w:p>
    <w:p w:rsidR="00287724" w:rsidRDefault="00287724">
      <w:pPr>
        <w:tabs>
          <w:tab w:val="left" w:pos="3735"/>
        </w:tabs>
        <w:spacing w:line="360" w:lineRule="auto"/>
        <w:jc w:val="both"/>
        <w:rPr>
          <w:sz w:val="36"/>
          <w:szCs w:val="36"/>
        </w:rPr>
      </w:pPr>
    </w:p>
    <w:p w:rsidR="00287724" w:rsidRDefault="00287724">
      <w:pPr>
        <w:tabs>
          <w:tab w:val="left" w:pos="3735"/>
        </w:tabs>
        <w:spacing w:line="360" w:lineRule="auto"/>
        <w:jc w:val="both"/>
        <w:rPr>
          <w:sz w:val="36"/>
          <w:szCs w:val="36"/>
        </w:rPr>
      </w:pPr>
    </w:p>
    <w:p w:rsidR="00287724" w:rsidRDefault="00916EC4">
      <w:pPr>
        <w:tabs>
          <w:tab w:val="left" w:pos="3735"/>
        </w:tabs>
        <w:spacing w:line="360" w:lineRule="auto"/>
        <w:jc w:val="both"/>
        <w:rPr>
          <w:rFonts w:ascii="Arial" w:eastAsia="Arial" w:hAnsi="Arial" w:cs="Arial"/>
          <w:sz w:val="22"/>
          <w:szCs w:val="22"/>
        </w:rPr>
      </w:pPr>
      <w:r>
        <w:rPr>
          <w:rFonts w:ascii="Arial" w:eastAsia="Arial" w:hAnsi="Arial" w:cs="Arial"/>
          <w:sz w:val="22"/>
          <w:szCs w:val="22"/>
        </w:rPr>
        <w:t>Caso asignado N. º 03: “Falitario, Juan Carlos s/ quiebra pedida por acreedor”</w:t>
      </w:r>
    </w:p>
    <w:p w:rsidR="00287724" w:rsidRDefault="00916EC4">
      <w:pPr>
        <w:tabs>
          <w:tab w:val="left" w:pos="3735"/>
        </w:tabs>
        <w:spacing w:line="360" w:lineRule="auto"/>
        <w:jc w:val="both"/>
        <w:rPr>
          <w:rFonts w:ascii="Arial" w:eastAsia="Arial" w:hAnsi="Arial" w:cs="Arial"/>
          <w:sz w:val="22"/>
          <w:szCs w:val="22"/>
          <w:u w:val="single"/>
        </w:rPr>
      </w:pPr>
      <w:r>
        <w:rPr>
          <w:rFonts w:ascii="Arial" w:eastAsia="Arial" w:hAnsi="Arial" w:cs="Arial"/>
          <w:sz w:val="22"/>
          <w:szCs w:val="22"/>
          <w:u w:val="single"/>
        </w:rPr>
        <w:t xml:space="preserve">Datos Generales </w:t>
      </w:r>
    </w:p>
    <w:p w:rsidR="00287724" w:rsidRDefault="00916EC4">
      <w:pPr>
        <w:tabs>
          <w:tab w:val="left" w:pos="3735"/>
        </w:tabs>
        <w:spacing w:line="360" w:lineRule="auto"/>
        <w:jc w:val="both"/>
        <w:rPr>
          <w:rFonts w:ascii="Arial" w:eastAsia="Arial" w:hAnsi="Arial" w:cs="Arial"/>
          <w:sz w:val="22"/>
          <w:szCs w:val="22"/>
        </w:rPr>
      </w:pPr>
      <w:r>
        <w:rPr>
          <w:rFonts w:ascii="Arial" w:eastAsia="Arial" w:hAnsi="Arial" w:cs="Arial"/>
          <w:sz w:val="22"/>
          <w:szCs w:val="22"/>
        </w:rPr>
        <w:t>Autos: “Falitario, Juan Carlos s/ quiebra pedida por acreedor”, Expte. N.º 14.453/2024, de trámite ante el Juzgado en lo Civil y Comercial de la 22ª Nominación de Rosario.</w:t>
      </w:r>
    </w:p>
    <w:p w:rsidR="00287724" w:rsidRDefault="00916EC4">
      <w:pPr>
        <w:tabs>
          <w:tab w:val="left" w:pos="3735"/>
        </w:tabs>
        <w:spacing w:line="360" w:lineRule="auto"/>
        <w:jc w:val="both"/>
        <w:rPr>
          <w:rFonts w:ascii="Arial" w:eastAsia="Arial" w:hAnsi="Arial" w:cs="Arial"/>
          <w:sz w:val="22"/>
          <w:szCs w:val="22"/>
        </w:rPr>
      </w:pPr>
      <w:r>
        <w:rPr>
          <w:rFonts w:ascii="Arial" w:eastAsia="Arial" w:hAnsi="Arial" w:cs="Arial"/>
          <w:sz w:val="22"/>
          <w:szCs w:val="22"/>
        </w:rPr>
        <w:t>Fecha declaración de quiebra solicitada por el acreedor: 14 de diciembre de 2024.</w:t>
      </w:r>
    </w:p>
    <w:p w:rsidR="00287724" w:rsidRDefault="00916EC4">
      <w:pPr>
        <w:tabs>
          <w:tab w:val="left" w:pos="3735"/>
        </w:tabs>
        <w:spacing w:line="360" w:lineRule="auto"/>
        <w:jc w:val="both"/>
        <w:rPr>
          <w:rFonts w:ascii="Arial" w:eastAsia="Arial" w:hAnsi="Arial" w:cs="Arial"/>
          <w:b/>
          <w:sz w:val="22"/>
          <w:szCs w:val="22"/>
        </w:rPr>
      </w:pPr>
      <w:r>
        <w:rPr>
          <w:rFonts w:ascii="Arial" w:eastAsia="Arial" w:hAnsi="Arial" w:cs="Arial"/>
          <w:b/>
          <w:sz w:val="22"/>
          <w:szCs w:val="22"/>
        </w:rPr>
        <w:t>PR</w:t>
      </w:r>
      <w:r>
        <w:rPr>
          <w:rFonts w:ascii="Arial" w:eastAsia="Arial" w:hAnsi="Arial" w:cs="Arial"/>
          <w:b/>
          <w:sz w:val="22"/>
          <w:szCs w:val="22"/>
        </w:rPr>
        <w:t>IMERA CONSIGNA:</w:t>
      </w:r>
    </w:p>
    <w:p w:rsidR="00287724" w:rsidRDefault="00916EC4">
      <w:pPr>
        <w:tabs>
          <w:tab w:val="left" w:pos="3735"/>
        </w:tabs>
        <w:spacing w:line="360" w:lineRule="auto"/>
        <w:jc w:val="both"/>
        <w:rPr>
          <w:rFonts w:ascii="Arial" w:eastAsia="Arial" w:hAnsi="Arial" w:cs="Arial"/>
          <w:b/>
          <w:sz w:val="22"/>
          <w:szCs w:val="22"/>
        </w:rPr>
      </w:pPr>
      <w:r>
        <w:rPr>
          <w:rFonts w:ascii="Arial" w:eastAsia="Arial" w:hAnsi="Arial" w:cs="Arial"/>
          <w:b/>
          <w:sz w:val="22"/>
          <w:szCs w:val="22"/>
        </w:rPr>
        <w:t>Antecedentes del caso</w:t>
      </w:r>
    </w:p>
    <w:p w:rsidR="00287724" w:rsidRDefault="00916EC4">
      <w:pPr>
        <w:tabs>
          <w:tab w:val="left" w:pos="3735"/>
        </w:tabs>
        <w:spacing w:line="360" w:lineRule="auto"/>
        <w:jc w:val="both"/>
        <w:rPr>
          <w:rFonts w:ascii="Arial" w:eastAsia="Arial" w:hAnsi="Arial" w:cs="Arial"/>
          <w:sz w:val="22"/>
          <w:szCs w:val="22"/>
        </w:rPr>
      </w:pPr>
      <w:r>
        <w:rPr>
          <w:rFonts w:ascii="Arial" w:eastAsia="Arial" w:hAnsi="Arial" w:cs="Arial"/>
          <w:sz w:val="22"/>
          <w:szCs w:val="22"/>
        </w:rPr>
        <w:t>Juan Carlos Falitario es un comerciante que se dedica a la fabricación de insumos de goma, que luego vende a fábricas automotrices. Ante la merma de las ventas, y la necesidad de pagar servicios y sueldos, celebró dos mutuos, por los que recibió dinero, li</w:t>
      </w:r>
      <w:r>
        <w:rPr>
          <w:rFonts w:ascii="Arial" w:eastAsia="Arial" w:hAnsi="Arial" w:cs="Arial"/>
          <w:sz w:val="22"/>
          <w:szCs w:val="22"/>
        </w:rPr>
        <w:t>brando pagarés en garantía de cumplimiento. El beneficiario de uno de esos pagarés, ante la falta de pago, solicitó la quiebra del Sr. Falitario, quien a pesar de habérsele notificado al domicilio consignado en el título –que coincide con su domicilio real</w:t>
      </w:r>
      <w:r>
        <w:rPr>
          <w:rFonts w:ascii="Arial" w:eastAsia="Arial" w:hAnsi="Arial" w:cs="Arial"/>
          <w:sz w:val="22"/>
          <w:szCs w:val="22"/>
        </w:rPr>
        <w:t>-, no contestó el traslado, y consecuentemente se le declaró la quiebra en fecha 14/12/2024, dando lugar a los autos “Falitario, Juan Carlos s/ quiebra pedida por acreedor”, Expte 14453/24, de trámite ante el Juzgado en lo Civil y Comercial de la 22ª Nomin</w:t>
      </w:r>
      <w:r>
        <w:rPr>
          <w:rFonts w:ascii="Arial" w:eastAsia="Arial" w:hAnsi="Arial" w:cs="Arial"/>
          <w:sz w:val="22"/>
          <w:szCs w:val="22"/>
        </w:rPr>
        <w:t>ación de Rosario.</w:t>
      </w:r>
    </w:p>
    <w:p w:rsidR="00287724" w:rsidRDefault="00916EC4">
      <w:pPr>
        <w:tabs>
          <w:tab w:val="left" w:pos="3735"/>
        </w:tabs>
        <w:spacing w:line="360" w:lineRule="auto"/>
        <w:jc w:val="both"/>
        <w:rPr>
          <w:rFonts w:ascii="Arial" w:eastAsia="Arial" w:hAnsi="Arial" w:cs="Arial"/>
          <w:sz w:val="22"/>
          <w:szCs w:val="22"/>
        </w:rPr>
      </w:pPr>
      <w:r>
        <w:rPr>
          <w:rFonts w:ascii="Arial" w:eastAsia="Arial" w:hAnsi="Arial" w:cs="Arial"/>
          <w:sz w:val="22"/>
          <w:szCs w:val="22"/>
        </w:rPr>
        <w:t xml:space="preserve">Realizando las diligencias de rutina, Ud. toma conocimiento que en fecha 16/12/2024 el fallido transfirió un rodado de su propiedad, un Audi A3, domino MMM123, al Sr. Juan Antonio Compradore. Sucede que la venta se produjo en un plazo en </w:t>
      </w:r>
      <w:r>
        <w:rPr>
          <w:rFonts w:ascii="Arial" w:eastAsia="Arial" w:hAnsi="Arial" w:cs="Arial"/>
          <w:sz w:val="22"/>
          <w:szCs w:val="22"/>
        </w:rPr>
        <w:t>el que no era posible haber anotado la inhibición general de bienes –ordenada en la sentencia de quiebra- ante el Registro Nacional de la Propiedad Automotor, y el vehículo no se encontraba embargado, con lo que registralmente el Sr. Falitario se encontrab</w:t>
      </w:r>
      <w:r>
        <w:rPr>
          <w:rFonts w:ascii="Arial" w:eastAsia="Arial" w:hAnsi="Arial" w:cs="Arial"/>
          <w:sz w:val="22"/>
          <w:szCs w:val="22"/>
        </w:rPr>
        <w:t>a en condiciones de efectuar la transferencia.</w:t>
      </w:r>
    </w:p>
    <w:p w:rsidR="00287724" w:rsidRDefault="00916EC4">
      <w:pPr>
        <w:tabs>
          <w:tab w:val="left" w:pos="3735"/>
        </w:tabs>
        <w:spacing w:line="360" w:lineRule="auto"/>
        <w:jc w:val="both"/>
        <w:rPr>
          <w:rFonts w:ascii="Arial" w:eastAsia="Arial" w:hAnsi="Arial" w:cs="Arial"/>
          <w:b/>
          <w:sz w:val="22"/>
          <w:szCs w:val="22"/>
        </w:rPr>
      </w:pPr>
      <w:r>
        <w:rPr>
          <w:rFonts w:ascii="Arial" w:eastAsia="Arial" w:hAnsi="Arial" w:cs="Arial"/>
          <w:b/>
          <w:sz w:val="22"/>
          <w:szCs w:val="22"/>
        </w:rPr>
        <w:t>Consigna: explique cómo actuaría ante esta situación.</w:t>
      </w:r>
    </w:p>
    <w:p w:rsidR="00287724" w:rsidRDefault="00916EC4">
      <w:pPr>
        <w:tabs>
          <w:tab w:val="left" w:pos="3735"/>
        </w:tabs>
        <w:spacing w:line="360" w:lineRule="auto"/>
        <w:jc w:val="both"/>
        <w:rPr>
          <w:rFonts w:ascii="Arial" w:eastAsia="Arial" w:hAnsi="Arial" w:cs="Arial"/>
          <w:sz w:val="22"/>
          <w:szCs w:val="22"/>
        </w:rPr>
      </w:pPr>
      <w:r>
        <w:rPr>
          <w:rFonts w:ascii="Arial" w:eastAsia="Arial" w:hAnsi="Arial" w:cs="Arial"/>
          <w:sz w:val="22"/>
          <w:szCs w:val="22"/>
        </w:rPr>
        <w:t>Como sindico se debe consideraría que a partir de la sentencia de quiebra dictada el 14 de diciembre de 2024, Juan Carlos Falitario quedó automáticamente d</w:t>
      </w:r>
      <w:r>
        <w:rPr>
          <w:rFonts w:ascii="Arial" w:eastAsia="Arial" w:hAnsi="Arial" w:cs="Arial"/>
          <w:sz w:val="22"/>
          <w:szCs w:val="22"/>
        </w:rPr>
        <w:t>esapoderado de sus bienes conforme lo establece el artículo 107 de la Ley de Concursos y Quiebras (LCQ). En consecuencia, el acto de disposición efectuado con fecha 16 de diciembre de 2024 —la transferencia del vehículo Audi A3 a favor de Juan Antonio Comp</w:t>
      </w:r>
      <w:r>
        <w:rPr>
          <w:rFonts w:ascii="Arial" w:eastAsia="Arial" w:hAnsi="Arial" w:cs="Arial"/>
          <w:sz w:val="22"/>
          <w:szCs w:val="22"/>
        </w:rPr>
        <w:t>radore— resulta jurídicamente ineficaz frente al proceso concursal y a la masa de acreedores, en virtud del artículo 109 LCQ. Esta norma establece que todos los actos realizados por el fallido sobre bienes desapoderados carecen de eficacia ipso iure, sin n</w:t>
      </w:r>
      <w:r>
        <w:rPr>
          <w:rFonts w:ascii="Arial" w:eastAsia="Arial" w:hAnsi="Arial" w:cs="Arial"/>
          <w:sz w:val="22"/>
          <w:szCs w:val="22"/>
        </w:rPr>
        <w:t>ecesidad de acción judicial, aún si el adquirente actuó de buena fe y el acto se celebró a título oneroso.</w:t>
      </w:r>
    </w:p>
    <w:p w:rsidR="00287724" w:rsidRDefault="00916EC4">
      <w:pPr>
        <w:tabs>
          <w:tab w:val="left" w:pos="3735"/>
        </w:tabs>
        <w:spacing w:line="360" w:lineRule="auto"/>
        <w:jc w:val="both"/>
        <w:rPr>
          <w:rFonts w:ascii="Arial" w:eastAsia="Arial" w:hAnsi="Arial" w:cs="Arial"/>
          <w:sz w:val="22"/>
          <w:szCs w:val="22"/>
        </w:rPr>
      </w:pPr>
      <w:r>
        <w:rPr>
          <w:rFonts w:ascii="Arial" w:eastAsia="Arial" w:hAnsi="Arial" w:cs="Arial"/>
          <w:sz w:val="22"/>
          <w:szCs w:val="22"/>
        </w:rPr>
        <w:t>La doctrina y jurisprudencia, como la expuesta en los fallos “Manuel Iñiguez SACIA s/ quiebra” y “Schiselman Pablo Alberto s/ Quiebra”, refuerzan est</w:t>
      </w:r>
      <w:r>
        <w:rPr>
          <w:rFonts w:ascii="Arial" w:eastAsia="Arial" w:hAnsi="Arial" w:cs="Arial"/>
          <w:sz w:val="22"/>
          <w:szCs w:val="22"/>
        </w:rPr>
        <w:t>e criterio al señalar que el desapoderamiento es inmediato y no requiere la inscripción registral de la inhibición general de bienes para su eficacia. La inoponibilidad del acto se fundamenta en la protección del interés público concursal y la necesidad de</w:t>
      </w:r>
      <w:r>
        <w:rPr>
          <w:rFonts w:ascii="Arial" w:eastAsia="Arial" w:hAnsi="Arial" w:cs="Arial"/>
          <w:sz w:val="22"/>
          <w:szCs w:val="22"/>
        </w:rPr>
        <w:t xml:space="preserve"> preservar la integridad del patrimonio del fallido en beneficio de todos los acreedores.</w:t>
      </w:r>
    </w:p>
    <w:p w:rsidR="00287724" w:rsidRDefault="00916EC4">
      <w:pPr>
        <w:tabs>
          <w:tab w:val="left" w:pos="3735"/>
        </w:tabs>
        <w:spacing w:line="360" w:lineRule="auto"/>
        <w:jc w:val="both"/>
        <w:rPr>
          <w:rFonts w:ascii="Arial" w:eastAsia="Arial" w:hAnsi="Arial" w:cs="Arial"/>
          <w:sz w:val="22"/>
          <w:szCs w:val="22"/>
        </w:rPr>
      </w:pPr>
      <w:r>
        <w:rPr>
          <w:rFonts w:ascii="Arial" w:eastAsia="Arial" w:hAnsi="Arial" w:cs="Arial"/>
          <w:sz w:val="22"/>
          <w:szCs w:val="22"/>
        </w:rPr>
        <w:t>Asimismo, según el Dr. Darío Graziabile, la inoponibilidad de los actos celebrados en violación del desapoderamiento constituye una sanción orientada a mantener la in</w:t>
      </w:r>
      <w:r>
        <w:rPr>
          <w:rFonts w:ascii="Arial" w:eastAsia="Arial" w:hAnsi="Arial" w:cs="Arial"/>
          <w:sz w:val="22"/>
          <w:szCs w:val="22"/>
        </w:rPr>
        <w:t>tangibilidad del patrimonio falencial, siendo irrelevantes la buena fe del tercero y la falta de publicidad registral. Por tanto, no se trata de nulidad ni anulabilidad del acto, sino de su ineficacia frente al proceso concursal.</w:t>
      </w:r>
    </w:p>
    <w:p w:rsidR="00287724" w:rsidRDefault="00916EC4">
      <w:pPr>
        <w:tabs>
          <w:tab w:val="left" w:pos="3735"/>
        </w:tabs>
        <w:spacing w:line="360" w:lineRule="auto"/>
        <w:jc w:val="both"/>
        <w:rPr>
          <w:rFonts w:ascii="Arial" w:eastAsia="Arial" w:hAnsi="Arial" w:cs="Arial"/>
          <w:sz w:val="22"/>
          <w:szCs w:val="22"/>
        </w:rPr>
      </w:pPr>
      <w:r>
        <w:rPr>
          <w:rFonts w:ascii="Arial" w:eastAsia="Arial" w:hAnsi="Arial" w:cs="Arial"/>
          <w:sz w:val="22"/>
          <w:szCs w:val="22"/>
        </w:rPr>
        <w:t>En este contexto, correspo</w:t>
      </w:r>
      <w:r>
        <w:rPr>
          <w:rFonts w:ascii="Arial" w:eastAsia="Arial" w:hAnsi="Arial" w:cs="Arial"/>
          <w:sz w:val="22"/>
          <w:szCs w:val="22"/>
        </w:rPr>
        <w:t xml:space="preserve">nde como síndico solicitar la declaración de inoponibilidad de la transferencia del vehículo, inste su reincorporación a la masa de bienes, y comunique al Registro de la Propiedad Automotor para su anotación correspondiente, conforme a los artículos 108 y </w:t>
      </w:r>
      <w:r>
        <w:rPr>
          <w:rFonts w:ascii="Arial" w:eastAsia="Arial" w:hAnsi="Arial" w:cs="Arial"/>
          <w:sz w:val="22"/>
          <w:szCs w:val="22"/>
        </w:rPr>
        <w:t>109 de la LCQ.</w:t>
      </w:r>
    </w:p>
    <w:p w:rsidR="00287724" w:rsidRDefault="00916EC4">
      <w:pPr>
        <w:tabs>
          <w:tab w:val="left" w:pos="3735"/>
        </w:tabs>
        <w:spacing w:line="360" w:lineRule="auto"/>
        <w:jc w:val="both"/>
        <w:rPr>
          <w:rFonts w:ascii="Arial" w:eastAsia="Arial" w:hAnsi="Arial" w:cs="Arial"/>
          <w:sz w:val="22"/>
          <w:szCs w:val="22"/>
        </w:rPr>
      </w:pPr>
      <w:r>
        <w:rPr>
          <w:rFonts w:ascii="Arial" w:eastAsia="Arial" w:hAnsi="Arial" w:cs="Arial"/>
          <w:b/>
          <w:sz w:val="22"/>
          <w:szCs w:val="22"/>
        </w:rPr>
        <w:t>Análisis de la situación</w:t>
      </w:r>
    </w:p>
    <w:p w:rsidR="00287724" w:rsidRDefault="00916EC4">
      <w:pPr>
        <w:tabs>
          <w:tab w:val="left" w:pos="3735"/>
        </w:tabs>
        <w:spacing w:line="360" w:lineRule="auto"/>
        <w:jc w:val="both"/>
        <w:rPr>
          <w:rFonts w:ascii="Arial" w:eastAsia="Arial" w:hAnsi="Arial" w:cs="Arial"/>
          <w:sz w:val="22"/>
          <w:szCs w:val="22"/>
        </w:rPr>
      </w:pPr>
      <w:r>
        <w:rPr>
          <w:rFonts w:ascii="Arial" w:eastAsia="Arial" w:hAnsi="Arial" w:cs="Arial"/>
          <w:sz w:val="22"/>
          <w:szCs w:val="22"/>
        </w:rPr>
        <w:t>Situación del fallido y la quiebra:</w:t>
      </w:r>
    </w:p>
    <w:p w:rsidR="00287724" w:rsidRDefault="00916EC4">
      <w:pPr>
        <w:tabs>
          <w:tab w:val="left" w:pos="3735"/>
        </w:tabs>
        <w:spacing w:line="360" w:lineRule="auto"/>
        <w:jc w:val="both"/>
        <w:rPr>
          <w:rFonts w:ascii="Arial" w:eastAsia="Arial" w:hAnsi="Arial" w:cs="Arial"/>
          <w:sz w:val="22"/>
          <w:szCs w:val="22"/>
        </w:rPr>
      </w:pPr>
      <w:r>
        <w:rPr>
          <w:rFonts w:ascii="Arial" w:eastAsia="Arial" w:hAnsi="Arial" w:cs="Arial"/>
          <w:sz w:val="22"/>
          <w:szCs w:val="22"/>
        </w:rPr>
        <w:t>Juan Carlos Falitario fue declarado en quiebra el 14 de diciembre de 2024. A partir de esa fecha, según la legislación aplicable en materia de quiebras (en este caso, el Código Civ</w:t>
      </w:r>
      <w:r>
        <w:rPr>
          <w:rFonts w:ascii="Arial" w:eastAsia="Arial" w:hAnsi="Arial" w:cs="Arial"/>
          <w:sz w:val="22"/>
          <w:szCs w:val="22"/>
        </w:rPr>
        <w:t>il y Comercial de la Nación y la Ley de Concursos y Quiebras N.° 24.522), se generan efectos jurídicos sobre los bienes del fallido. Uno de los efectos más relevantes es el desapoderamiento que implica que el fallido no puede disponer libremente de su patr</w:t>
      </w:r>
      <w:r>
        <w:rPr>
          <w:rFonts w:ascii="Arial" w:eastAsia="Arial" w:hAnsi="Arial" w:cs="Arial"/>
          <w:sz w:val="22"/>
          <w:szCs w:val="22"/>
        </w:rPr>
        <w:t>imonio, ya que sus bienes quedan sujetos a la intervención del juez de la quiebra y la administración del síndico.</w:t>
      </w:r>
    </w:p>
    <w:p w:rsidR="00287724" w:rsidRDefault="00916EC4">
      <w:pPr>
        <w:tabs>
          <w:tab w:val="left" w:pos="3735"/>
        </w:tabs>
        <w:spacing w:line="360" w:lineRule="auto"/>
        <w:jc w:val="both"/>
        <w:rPr>
          <w:rFonts w:ascii="Arial" w:eastAsia="Arial" w:hAnsi="Arial" w:cs="Arial"/>
          <w:sz w:val="22"/>
          <w:szCs w:val="22"/>
        </w:rPr>
      </w:pPr>
      <w:r>
        <w:rPr>
          <w:rFonts w:ascii="Arial" w:eastAsia="Arial" w:hAnsi="Arial" w:cs="Arial"/>
          <w:sz w:val="22"/>
          <w:szCs w:val="22"/>
        </w:rPr>
        <w:t>Si bien el 14 de diciembre se dictó la sentencia de quiebra, en la fecha en que se realizó la transferencia del vehículo (16 de diciembre de 2024), la inhibición general de bienes aún no había sido registrada formalmente ante el Registro Nacional de la Pro</w:t>
      </w:r>
      <w:r>
        <w:rPr>
          <w:rFonts w:ascii="Arial" w:eastAsia="Arial" w:hAnsi="Arial" w:cs="Arial"/>
          <w:sz w:val="22"/>
          <w:szCs w:val="22"/>
        </w:rPr>
        <w:t>piedad Automotor. Sin embargo, hay que analizar la cuestión dentro del marco de lo normado en el Art. 106 y 107 de la LCQ donde establecen que el desapoderamiento de los bienes del deudor se produce de inmediato tras la sentencia de quiebra. Asimismo, el A</w:t>
      </w:r>
      <w:r>
        <w:rPr>
          <w:rFonts w:ascii="Arial" w:eastAsia="Arial" w:hAnsi="Arial" w:cs="Arial"/>
          <w:sz w:val="22"/>
          <w:szCs w:val="22"/>
        </w:rPr>
        <w:t>rt. 109 de la LCQ, en el cual la norma es la consecuencia lógica del desapoderamiento establecido en el Art. 107 de la LCQ, debido a que, si el fallido pierde la administración y disponibilidad de su patrimonio no puede celebrar actos jurídicos para altera</w:t>
      </w:r>
      <w:r>
        <w:rPr>
          <w:rFonts w:ascii="Arial" w:eastAsia="Arial" w:hAnsi="Arial" w:cs="Arial"/>
          <w:sz w:val="22"/>
          <w:szCs w:val="22"/>
        </w:rPr>
        <w:t>r su composición, y considerando lo especificado por el Art. 107 de la LCQ, el cual alcanza a los bienes del deudor existentes a la fecha de la declaración de quiebra y los que adquiera hasta su rehabilitación, junto con el Art. 109 de la LCQ constituyen u</w:t>
      </w:r>
      <w:r>
        <w:rPr>
          <w:rFonts w:ascii="Arial" w:eastAsia="Arial" w:hAnsi="Arial" w:cs="Arial"/>
          <w:sz w:val="22"/>
          <w:szCs w:val="22"/>
        </w:rPr>
        <w:t>n único sistema que tiende a la cristalización del patrimonio afectado por la quiebra de su titular, volviéndolo intangible a favor de los acreedores.</w:t>
      </w:r>
    </w:p>
    <w:p w:rsidR="00287724" w:rsidRDefault="00916EC4">
      <w:pPr>
        <w:tabs>
          <w:tab w:val="left" w:pos="3735"/>
        </w:tabs>
        <w:spacing w:line="360" w:lineRule="auto"/>
        <w:jc w:val="both"/>
        <w:rPr>
          <w:rFonts w:ascii="Arial" w:eastAsia="Arial" w:hAnsi="Arial" w:cs="Arial"/>
          <w:sz w:val="22"/>
          <w:szCs w:val="22"/>
        </w:rPr>
      </w:pPr>
      <w:r>
        <w:rPr>
          <w:rFonts w:ascii="Arial" w:eastAsia="Arial" w:hAnsi="Arial" w:cs="Arial"/>
          <w:sz w:val="22"/>
          <w:szCs w:val="22"/>
        </w:rPr>
        <w:t>El concepto de desapoderamiento en el marco de la Ley de Concursos y Quiebras hace referencia a la pérdid</w:t>
      </w:r>
      <w:r>
        <w:rPr>
          <w:rFonts w:ascii="Arial" w:eastAsia="Arial" w:hAnsi="Arial" w:cs="Arial"/>
          <w:sz w:val="22"/>
          <w:szCs w:val="22"/>
        </w:rPr>
        <w:t xml:space="preserve">a y disposición de los bienes por parte del fallido (la persona que ha sido declarada en quiebra), ya que, a partir de la declaración de quiebra, estos bienes serán administrados por el Síndico. </w:t>
      </w:r>
    </w:p>
    <w:p w:rsidR="00287724" w:rsidRDefault="00916EC4">
      <w:pPr>
        <w:tabs>
          <w:tab w:val="left" w:pos="3735"/>
        </w:tabs>
        <w:spacing w:line="360" w:lineRule="auto"/>
        <w:jc w:val="both"/>
        <w:rPr>
          <w:rFonts w:ascii="Arial" w:eastAsia="Arial" w:hAnsi="Arial" w:cs="Arial"/>
          <w:sz w:val="22"/>
          <w:szCs w:val="22"/>
        </w:rPr>
      </w:pPr>
      <w:r>
        <w:rPr>
          <w:rFonts w:ascii="Arial" w:eastAsia="Arial" w:hAnsi="Arial" w:cs="Arial"/>
          <w:sz w:val="22"/>
          <w:szCs w:val="22"/>
        </w:rPr>
        <w:t>Cuando se declara la quiebra de una persona, todos sus biene</w:t>
      </w:r>
      <w:r>
        <w:rPr>
          <w:rFonts w:ascii="Arial" w:eastAsia="Arial" w:hAnsi="Arial" w:cs="Arial"/>
          <w:sz w:val="22"/>
          <w:szCs w:val="22"/>
        </w:rPr>
        <w:t>s entran en la masa falencial, y el fallido pierde la libre disposición de estos. El síndico es quien asume el control sobre estos bienes, con el objetivo de administrarlos y, eventualmente, venderlos para satisfacer las deudas de los acreedores.</w:t>
      </w:r>
    </w:p>
    <w:p w:rsidR="00287724" w:rsidRDefault="00916EC4">
      <w:pPr>
        <w:tabs>
          <w:tab w:val="left" w:pos="3735"/>
        </w:tabs>
        <w:spacing w:line="360" w:lineRule="auto"/>
        <w:jc w:val="both"/>
        <w:rPr>
          <w:rFonts w:ascii="Arial" w:eastAsia="Arial" w:hAnsi="Arial" w:cs="Arial"/>
          <w:sz w:val="22"/>
          <w:szCs w:val="22"/>
        </w:rPr>
      </w:pPr>
      <w:r>
        <w:rPr>
          <w:rFonts w:ascii="Arial" w:eastAsia="Arial" w:hAnsi="Arial" w:cs="Arial"/>
          <w:sz w:val="22"/>
          <w:szCs w:val="22"/>
        </w:rPr>
        <w:t>Abordando</w:t>
      </w:r>
      <w:r>
        <w:rPr>
          <w:rFonts w:ascii="Arial" w:eastAsia="Arial" w:hAnsi="Arial" w:cs="Arial"/>
          <w:sz w:val="22"/>
          <w:szCs w:val="22"/>
        </w:rPr>
        <w:t xml:space="preserve"> ejemplos en la jurisprudencia que avalan lo expuesto en los Arts. mencionados anteriormente de la Ley de Concursos y Quiebras. Se puede citar</w:t>
      </w:r>
      <w:r>
        <w:rPr>
          <w:rFonts w:ascii="Arial" w:eastAsia="Arial" w:hAnsi="Arial" w:cs="Arial"/>
          <w:sz w:val="22"/>
          <w:szCs w:val="22"/>
          <w:vertAlign w:val="superscript"/>
        </w:rPr>
        <w:footnoteReference w:id="1"/>
      </w:r>
      <w:r>
        <w:rPr>
          <w:rFonts w:ascii="Arial" w:eastAsia="Arial" w:hAnsi="Arial" w:cs="Arial"/>
          <w:sz w:val="22"/>
          <w:szCs w:val="22"/>
        </w:rPr>
        <w:t xml:space="preserve"> el fallo de la </w:t>
      </w:r>
      <w:r>
        <w:rPr>
          <w:rFonts w:ascii="Arial" w:eastAsia="Arial" w:hAnsi="Arial" w:cs="Arial"/>
          <w:i/>
          <w:sz w:val="22"/>
          <w:szCs w:val="22"/>
        </w:rPr>
        <w:t>Cámara Nacional de Apelaciones en lo Comercial</w:t>
      </w:r>
      <w:r>
        <w:rPr>
          <w:rFonts w:ascii="Arial" w:eastAsia="Arial" w:hAnsi="Arial" w:cs="Arial"/>
          <w:sz w:val="22"/>
          <w:szCs w:val="22"/>
        </w:rPr>
        <w:t xml:space="preserve"> en el caso "Manuel Iñiguez SACIA s/ quiebra" el cu</w:t>
      </w:r>
      <w:r>
        <w:rPr>
          <w:rFonts w:ascii="Arial" w:eastAsia="Arial" w:hAnsi="Arial" w:cs="Arial"/>
          <w:sz w:val="22"/>
          <w:szCs w:val="22"/>
        </w:rPr>
        <w:t xml:space="preserve">al trata sobre la </w:t>
      </w:r>
      <w:r>
        <w:rPr>
          <w:rFonts w:ascii="Arial" w:eastAsia="Arial" w:hAnsi="Arial" w:cs="Arial"/>
          <w:b/>
          <w:sz w:val="22"/>
          <w:szCs w:val="22"/>
        </w:rPr>
        <w:t xml:space="preserve">ineficacia de una compraventa de inmueble realizada luego de la declaración de quiebra cuando se había publicado edictos en otra jurisdicción pero en la cual el fallido tiene su establecimiento, </w:t>
      </w:r>
      <w:r>
        <w:rPr>
          <w:rFonts w:ascii="Arial" w:eastAsia="Arial" w:hAnsi="Arial" w:cs="Arial"/>
          <w:sz w:val="22"/>
          <w:szCs w:val="22"/>
        </w:rPr>
        <w:t xml:space="preserve">en este caso se denota el desapoderamiento </w:t>
      </w:r>
      <w:r>
        <w:rPr>
          <w:rFonts w:ascii="Arial" w:eastAsia="Arial" w:hAnsi="Arial" w:cs="Arial"/>
          <w:sz w:val="22"/>
          <w:szCs w:val="22"/>
        </w:rPr>
        <w:t>inmediato (arts. 106 y 107 LCQ): Desde la declaración de quiebra, el fallido pierde automáticamente la administración de sus bienes. Los actos de disposición posteriores son ineficaces frente a los acreedores, incluso si se hacen de buena fe o sin conocimi</w:t>
      </w:r>
      <w:r>
        <w:rPr>
          <w:rFonts w:ascii="Arial" w:eastAsia="Arial" w:hAnsi="Arial" w:cs="Arial"/>
          <w:sz w:val="22"/>
          <w:szCs w:val="22"/>
        </w:rPr>
        <w:t>ento público de la quiebra.</w:t>
      </w:r>
    </w:p>
    <w:p w:rsidR="00287724" w:rsidRDefault="00916EC4">
      <w:pPr>
        <w:tabs>
          <w:tab w:val="left" w:pos="3735"/>
        </w:tabs>
        <w:spacing w:line="360" w:lineRule="auto"/>
        <w:jc w:val="both"/>
        <w:rPr>
          <w:rFonts w:ascii="Arial" w:eastAsia="Arial" w:hAnsi="Arial" w:cs="Arial"/>
          <w:sz w:val="22"/>
          <w:szCs w:val="22"/>
        </w:rPr>
      </w:pPr>
      <w:r>
        <w:rPr>
          <w:rFonts w:ascii="Arial" w:eastAsia="Arial" w:hAnsi="Arial" w:cs="Arial"/>
          <w:sz w:val="22"/>
          <w:szCs w:val="22"/>
        </w:rPr>
        <w:t>Asimismo, plasma la Ineficacia objetiva de los actos post-quiebra (art. 109 LCQ): Cualquier acto de disposición realizado sobre bienes desapoderados, luego de la declaración de quiebra, es ineficaz de pleno derecho, sin importar</w:t>
      </w:r>
      <w:r>
        <w:rPr>
          <w:rFonts w:ascii="Arial" w:eastAsia="Arial" w:hAnsi="Arial" w:cs="Arial"/>
          <w:sz w:val="22"/>
          <w:szCs w:val="22"/>
        </w:rPr>
        <w:t xml:space="preserve"> la buena fe del adquirente ni la omisión de publicidad registral.</w:t>
      </w:r>
    </w:p>
    <w:p w:rsidR="00287724" w:rsidRDefault="00916EC4">
      <w:pPr>
        <w:tabs>
          <w:tab w:val="left" w:pos="3735"/>
        </w:tabs>
        <w:spacing w:line="360" w:lineRule="auto"/>
        <w:jc w:val="both"/>
        <w:rPr>
          <w:rFonts w:ascii="Arial" w:eastAsia="Arial" w:hAnsi="Arial" w:cs="Arial"/>
          <w:sz w:val="22"/>
          <w:szCs w:val="22"/>
        </w:rPr>
      </w:pPr>
      <w:r>
        <w:rPr>
          <w:rFonts w:ascii="Arial" w:eastAsia="Arial" w:hAnsi="Arial" w:cs="Arial"/>
          <w:sz w:val="22"/>
          <w:szCs w:val="22"/>
        </w:rPr>
        <w:t>También la publicación de edictos en otra jurisdicción no es requisito para la ineficacia: El tribunal aclara que la publicación en la jurisdicción donde el fallido tiene establecimiento es</w:t>
      </w:r>
      <w:r>
        <w:rPr>
          <w:rFonts w:ascii="Arial" w:eastAsia="Arial" w:hAnsi="Arial" w:cs="Arial"/>
          <w:sz w:val="22"/>
          <w:szCs w:val="22"/>
        </w:rPr>
        <w:t xml:space="preserve"> suficiente; no se requiere para inmuebles ubicados fuera de ella, por lo que se presume el conocimiento legal de la quiebra.</w:t>
      </w:r>
    </w:p>
    <w:p w:rsidR="00287724" w:rsidRDefault="00916EC4">
      <w:pPr>
        <w:tabs>
          <w:tab w:val="left" w:pos="3735"/>
        </w:tabs>
        <w:spacing w:line="360" w:lineRule="auto"/>
        <w:jc w:val="both"/>
        <w:rPr>
          <w:rFonts w:ascii="Arial" w:eastAsia="Arial" w:hAnsi="Arial" w:cs="Arial"/>
          <w:sz w:val="22"/>
          <w:szCs w:val="22"/>
        </w:rPr>
      </w:pPr>
      <w:r>
        <w:rPr>
          <w:rFonts w:ascii="Arial" w:eastAsia="Arial" w:hAnsi="Arial" w:cs="Arial"/>
          <w:sz w:val="22"/>
          <w:szCs w:val="22"/>
        </w:rPr>
        <w:t>Además, la omisión de la inscripción de la inhibición no legitima el acto: Aunque se reconoce como reprochable la falta de inscrip</w:t>
      </w:r>
      <w:r>
        <w:rPr>
          <w:rFonts w:ascii="Arial" w:eastAsia="Arial" w:hAnsi="Arial" w:cs="Arial"/>
          <w:sz w:val="22"/>
          <w:szCs w:val="22"/>
        </w:rPr>
        <w:t>ción registral de la inhibición en Mendoza, ello no permite validar la venta realizada después de la quiebra.</w:t>
      </w:r>
    </w:p>
    <w:p w:rsidR="00287724" w:rsidRDefault="00916EC4">
      <w:pPr>
        <w:tabs>
          <w:tab w:val="left" w:pos="3735"/>
        </w:tabs>
        <w:spacing w:line="360" w:lineRule="auto"/>
        <w:jc w:val="both"/>
        <w:rPr>
          <w:rFonts w:ascii="Arial" w:eastAsia="Arial" w:hAnsi="Arial" w:cs="Arial"/>
          <w:sz w:val="22"/>
          <w:szCs w:val="22"/>
        </w:rPr>
      </w:pPr>
      <w:r>
        <w:rPr>
          <w:rFonts w:ascii="Arial" w:eastAsia="Arial" w:hAnsi="Arial" w:cs="Arial"/>
          <w:sz w:val="22"/>
          <w:szCs w:val="22"/>
        </w:rPr>
        <w:t>La buena fe del comprador no valida el acto: La buena fe no puede prevalecer sobre los intereses del conjunto de acreedores. El bien vendido perte</w:t>
      </w:r>
      <w:r>
        <w:rPr>
          <w:rFonts w:ascii="Arial" w:eastAsia="Arial" w:hAnsi="Arial" w:cs="Arial"/>
          <w:sz w:val="22"/>
          <w:szCs w:val="22"/>
        </w:rPr>
        <w:t>necía al patrimonio del concurso desde el momento de la quiebra.</w:t>
      </w:r>
    </w:p>
    <w:p w:rsidR="00287724" w:rsidRDefault="00916EC4">
      <w:pPr>
        <w:tabs>
          <w:tab w:val="left" w:pos="3735"/>
        </w:tabs>
        <w:spacing w:line="360" w:lineRule="auto"/>
        <w:jc w:val="both"/>
        <w:rPr>
          <w:rFonts w:ascii="Arial" w:eastAsia="Arial" w:hAnsi="Arial" w:cs="Arial"/>
          <w:sz w:val="22"/>
          <w:szCs w:val="22"/>
        </w:rPr>
      </w:pPr>
      <w:r>
        <w:rPr>
          <w:rFonts w:ascii="Arial" w:eastAsia="Arial" w:hAnsi="Arial" w:cs="Arial"/>
          <w:sz w:val="22"/>
          <w:szCs w:val="22"/>
        </w:rPr>
        <w:t>No corresponde nulidad ni sustanciación adicional: La ineficacia se declara sin necesidad de proceso ordinario (art. 118 LCQ), porque se trata de una consecuencia legal objetiva del desapoder</w:t>
      </w:r>
      <w:r>
        <w:rPr>
          <w:rFonts w:ascii="Arial" w:eastAsia="Arial" w:hAnsi="Arial" w:cs="Arial"/>
          <w:sz w:val="22"/>
          <w:szCs w:val="22"/>
        </w:rPr>
        <w:t>amiento. La audiencia al comprador es innecesaria.</w:t>
      </w:r>
    </w:p>
    <w:p w:rsidR="00287724" w:rsidRDefault="00916EC4">
      <w:pPr>
        <w:tabs>
          <w:tab w:val="left" w:pos="3735"/>
        </w:tabs>
        <w:spacing w:line="360" w:lineRule="auto"/>
        <w:jc w:val="both"/>
        <w:rPr>
          <w:rFonts w:ascii="Arial" w:eastAsia="Arial" w:hAnsi="Arial" w:cs="Arial"/>
          <w:sz w:val="22"/>
          <w:szCs w:val="22"/>
        </w:rPr>
      </w:pPr>
      <w:r>
        <w:rPr>
          <w:rFonts w:ascii="Arial" w:eastAsia="Arial" w:hAnsi="Arial" w:cs="Arial"/>
          <w:sz w:val="22"/>
          <w:szCs w:val="22"/>
        </w:rPr>
        <w:t>Se advierte que el art. 109 contiene una remisión incorrecta al art. 119 (que prevé una acción ordinaria), cuando debió remitirse al art. 118, que habilita una declaración sin trámite. Esto se refuerza con</w:t>
      </w:r>
      <w:r>
        <w:rPr>
          <w:rFonts w:ascii="Arial" w:eastAsia="Arial" w:hAnsi="Arial" w:cs="Arial"/>
          <w:sz w:val="22"/>
          <w:szCs w:val="22"/>
        </w:rPr>
        <w:t xml:space="preserve"> un anteproyecto de reforma que corrige esta incongruencia. El tribunal rechaza el recurso de los compradores, sostiene la ineficacia de la compraventa del inmueble realizada después de la quiebra, y confirma que los bienes deben reintegrarse al patrimonio</w:t>
      </w:r>
      <w:r>
        <w:rPr>
          <w:rFonts w:ascii="Arial" w:eastAsia="Arial" w:hAnsi="Arial" w:cs="Arial"/>
          <w:sz w:val="22"/>
          <w:szCs w:val="22"/>
        </w:rPr>
        <w:t xml:space="preserve"> del concurso.</w:t>
      </w:r>
    </w:p>
    <w:p w:rsidR="00287724" w:rsidRDefault="00916EC4">
      <w:pPr>
        <w:tabs>
          <w:tab w:val="left" w:pos="3735"/>
        </w:tabs>
        <w:spacing w:line="360" w:lineRule="auto"/>
        <w:jc w:val="both"/>
        <w:rPr>
          <w:rFonts w:ascii="Arial" w:eastAsia="Arial" w:hAnsi="Arial" w:cs="Arial"/>
          <w:sz w:val="22"/>
          <w:szCs w:val="22"/>
        </w:rPr>
      </w:pPr>
      <w:r>
        <w:rPr>
          <w:rFonts w:ascii="Arial" w:eastAsia="Arial" w:hAnsi="Arial" w:cs="Arial"/>
          <w:sz w:val="22"/>
          <w:szCs w:val="22"/>
        </w:rPr>
        <w:t>El art. 106 de la ley 24.522 (110 de la ley 19.551) dispone que la sentencia de quiebra importa la aplicación inmediata del desapoderamiento, y no determina que, a tal efecto, sea menester la publicidad de aquélla, mediante edictos, o la ref</w:t>
      </w:r>
      <w:r>
        <w:rPr>
          <w:rFonts w:ascii="Arial" w:eastAsia="Arial" w:hAnsi="Arial" w:cs="Arial"/>
          <w:sz w:val="22"/>
          <w:szCs w:val="22"/>
        </w:rPr>
        <w:t>erida inscripción de la inhibición general de bienes en el registro inmobiliario. Así, si se adquirió un inmueble de la fallida cuando ya había sido declarada su quiebra, corresponde declarar ineficaz tal venta, aun habiéndose omitido la referida publicida</w:t>
      </w:r>
      <w:r>
        <w:rPr>
          <w:rFonts w:ascii="Arial" w:eastAsia="Arial" w:hAnsi="Arial" w:cs="Arial"/>
          <w:sz w:val="22"/>
          <w:szCs w:val="22"/>
        </w:rPr>
        <w:t>d.</w:t>
      </w:r>
    </w:p>
    <w:p w:rsidR="00287724" w:rsidRDefault="00916EC4">
      <w:pPr>
        <w:tabs>
          <w:tab w:val="left" w:pos="3735"/>
        </w:tabs>
        <w:spacing w:line="360" w:lineRule="auto"/>
        <w:jc w:val="both"/>
        <w:rPr>
          <w:rFonts w:ascii="Arial" w:eastAsia="Arial" w:hAnsi="Arial" w:cs="Arial"/>
          <w:sz w:val="22"/>
          <w:szCs w:val="22"/>
        </w:rPr>
      </w:pPr>
      <w:r>
        <w:rPr>
          <w:rFonts w:ascii="Arial" w:eastAsia="Arial" w:hAnsi="Arial" w:cs="Arial"/>
          <w:sz w:val="22"/>
          <w:szCs w:val="22"/>
        </w:rPr>
        <w:t>Otro fallo que se puede mencionar que trata sobre el caso bajo análisis es el de la Cámara Nacional de Apelaciones en lo Comercial "Schiselman Pablo Alberto s/ Quiebra, Incidente de Apelación”</w:t>
      </w:r>
      <w:r>
        <w:rPr>
          <w:rFonts w:ascii="Arial" w:eastAsia="Arial" w:hAnsi="Arial" w:cs="Arial"/>
          <w:sz w:val="22"/>
          <w:szCs w:val="22"/>
          <w:vertAlign w:val="superscript"/>
        </w:rPr>
        <w:footnoteReference w:id="2"/>
      </w:r>
      <w:r>
        <w:rPr>
          <w:rFonts w:ascii="Arial" w:eastAsia="Arial" w:hAnsi="Arial" w:cs="Arial"/>
          <w:sz w:val="22"/>
          <w:szCs w:val="22"/>
        </w:rPr>
        <w:t>, en el cual el fallido apeló un decreto que declaró la inef</w:t>
      </w:r>
      <w:r>
        <w:rPr>
          <w:rFonts w:ascii="Arial" w:eastAsia="Arial" w:hAnsi="Arial" w:cs="Arial"/>
          <w:sz w:val="22"/>
          <w:szCs w:val="22"/>
        </w:rPr>
        <w:t>icacia de pleno derecho de la venta del 50% indiviso de un inmueble, realizada tras la declaración de su quiebra, y ordenó la prohibición de innovar sobre dicha propiedad.</w:t>
      </w:r>
    </w:p>
    <w:p w:rsidR="00287724" w:rsidRDefault="00916EC4">
      <w:pPr>
        <w:tabs>
          <w:tab w:val="left" w:pos="3735"/>
        </w:tabs>
        <w:spacing w:line="360" w:lineRule="auto"/>
        <w:jc w:val="both"/>
        <w:rPr>
          <w:rFonts w:ascii="Arial" w:eastAsia="Arial" w:hAnsi="Arial" w:cs="Arial"/>
          <w:sz w:val="22"/>
          <w:szCs w:val="22"/>
        </w:rPr>
      </w:pPr>
      <w:r>
        <w:rPr>
          <w:rFonts w:ascii="Arial" w:eastAsia="Arial" w:hAnsi="Arial" w:cs="Arial"/>
          <w:sz w:val="22"/>
          <w:szCs w:val="22"/>
        </w:rPr>
        <w:t>La quiebra de Pablo Alberto Schiselman fue decretada el 20 de agosto de 2008, el bol</w:t>
      </w:r>
      <w:r>
        <w:rPr>
          <w:rFonts w:ascii="Arial" w:eastAsia="Arial" w:hAnsi="Arial" w:cs="Arial"/>
          <w:sz w:val="22"/>
          <w:szCs w:val="22"/>
        </w:rPr>
        <w:t>eto de compraventa se firmó el 18 de julio de 2008, la escritura traslativa de dominio fue extendida el 03 de septiembre de 2008 y la inscripción registral se efectivizó el 10 de octubre de 2008. A su vez, los edictos ordenados en el decreto de quiebra fue</w:t>
      </w:r>
      <w:r>
        <w:rPr>
          <w:rFonts w:ascii="Arial" w:eastAsia="Arial" w:hAnsi="Arial" w:cs="Arial"/>
          <w:sz w:val="22"/>
          <w:szCs w:val="22"/>
        </w:rPr>
        <w:t xml:space="preserve">ron publicados desde el 26 de septiembre al 02 de otubre de 2008. </w:t>
      </w:r>
    </w:p>
    <w:p w:rsidR="00287724" w:rsidRDefault="00916EC4">
      <w:pPr>
        <w:tabs>
          <w:tab w:val="left" w:pos="3735"/>
        </w:tabs>
        <w:spacing w:line="360" w:lineRule="auto"/>
        <w:jc w:val="both"/>
        <w:rPr>
          <w:rFonts w:ascii="Arial" w:eastAsia="Arial" w:hAnsi="Arial" w:cs="Arial"/>
          <w:sz w:val="22"/>
          <w:szCs w:val="22"/>
        </w:rPr>
      </w:pPr>
      <w:r>
        <w:rPr>
          <w:rFonts w:ascii="Arial" w:eastAsia="Arial" w:hAnsi="Arial" w:cs="Arial"/>
          <w:sz w:val="22"/>
          <w:szCs w:val="22"/>
        </w:rPr>
        <w:t>En el caso, al declararse la quiebra el 20 de agosto de 2008 y los edictos correspondientes se publicaron desde en una fecha posterior, sin embargo, la adquirente del inmueble, pese a haber</w:t>
      </w:r>
      <w:r>
        <w:rPr>
          <w:rFonts w:ascii="Arial" w:eastAsia="Arial" w:hAnsi="Arial" w:cs="Arial"/>
          <w:sz w:val="22"/>
          <w:szCs w:val="22"/>
        </w:rPr>
        <w:t xml:space="preserve"> sido notificada por cédula del contenido de la decisión bajo análisis, no la impugnó, considerándose consentida.</w:t>
      </w:r>
    </w:p>
    <w:p w:rsidR="00287724" w:rsidRDefault="00916EC4">
      <w:pPr>
        <w:tabs>
          <w:tab w:val="left" w:pos="3735"/>
        </w:tabs>
        <w:spacing w:line="360" w:lineRule="auto"/>
        <w:jc w:val="both"/>
        <w:rPr>
          <w:rFonts w:ascii="Arial" w:eastAsia="Arial" w:hAnsi="Arial" w:cs="Arial"/>
          <w:sz w:val="22"/>
          <w:szCs w:val="22"/>
        </w:rPr>
      </w:pPr>
      <w:r>
        <w:rPr>
          <w:rFonts w:ascii="Arial" w:eastAsia="Arial" w:hAnsi="Arial" w:cs="Arial"/>
          <w:sz w:val="22"/>
          <w:szCs w:val="22"/>
        </w:rPr>
        <w:t>El argumento relativo a la buena fe de la compradora, por haber sido introducido por el fallido se muestra inatendible y tampoco resulta atendible un planteo de su parte dirigido a protegerse de un reclamo del tercero que ha consentido, sin reservas, la de</w:t>
      </w:r>
      <w:r>
        <w:rPr>
          <w:rFonts w:ascii="Arial" w:eastAsia="Arial" w:hAnsi="Arial" w:cs="Arial"/>
          <w:sz w:val="22"/>
          <w:szCs w:val="22"/>
        </w:rPr>
        <w:t>cisión adversa que aquí interesa.</w:t>
      </w:r>
    </w:p>
    <w:p w:rsidR="00287724" w:rsidRDefault="00916EC4">
      <w:pPr>
        <w:tabs>
          <w:tab w:val="left" w:pos="3735"/>
        </w:tabs>
        <w:spacing w:line="360" w:lineRule="auto"/>
        <w:jc w:val="both"/>
        <w:rPr>
          <w:rFonts w:ascii="Arial" w:eastAsia="Arial" w:hAnsi="Arial" w:cs="Arial"/>
          <w:sz w:val="22"/>
          <w:szCs w:val="22"/>
        </w:rPr>
      </w:pPr>
      <w:r>
        <w:rPr>
          <w:rFonts w:ascii="Arial" w:eastAsia="Arial" w:hAnsi="Arial" w:cs="Arial"/>
          <w:sz w:val="22"/>
          <w:szCs w:val="22"/>
        </w:rPr>
        <w:t>El inmueble era el único bien del fallido, con un pasivo de $176.611,21. La venta perjudicó a los acreedores por vaciar el patrimonio disponible para su cobro.</w:t>
      </w:r>
    </w:p>
    <w:p w:rsidR="00287724" w:rsidRDefault="00916EC4">
      <w:pPr>
        <w:tabs>
          <w:tab w:val="left" w:pos="3735"/>
        </w:tabs>
        <w:spacing w:line="360" w:lineRule="auto"/>
        <w:jc w:val="both"/>
        <w:rPr>
          <w:rFonts w:ascii="Arial" w:eastAsia="Arial" w:hAnsi="Arial" w:cs="Arial"/>
          <w:sz w:val="22"/>
          <w:szCs w:val="22"/>
        </w:rPr>
      </w:pPr>
      <w:r>
        <w:rPr>
          <w:rFonts w:ascii="Arial" w:eastAsia="Arial" w:hAnsi="Arial" w:cs="Arial"/>
          <w:sz w:val="22"/>
          <w:szCs w:val="22"/>
        </w:rPr>
        <w:t>Se presume legalmente (iuris et de iure) desde el día siguient</w:t>
      </w:r>
      <w:r>
        <w:rPr>
          <w:rFonts w:ascii="Arial" w:eastAsia="Arial" w:hAnsi="Arial" w:cs="Arial"/>
          <w:sz w:val="22"/>
          <w:szCs w:val="22"/>
        </w:rPr>
        <w:t>e a la última publicación de edictos. Por ende, no puede alegarse ignorancia del estado falencial una vez cumplido ese requisito.</w:t>
      </w:r>
    </w:p>
    <w:p w:rsidR="00287724" w:rsidRDefault="00916EC4">
      <w:pPr>
        <w:tabs>
          <w:tab w:val="left" w:pos="3735"/>
        </w:tabs>
        <w:spacing w:line="360" w:lineRule="auto"/>
        <w:jc w:val="both"/>
        <w:rPr>
          <w:rFonts w:ascii="Arial" w:eastAsia="Arial" w:hAnsi="Arial" w:cs="Arial"/>
          <w:sz w:val="22"/>
          <w:szCs w:val="22"/>
        </w:rPr>
      </w:pPr>
      <w:r>
        <w:rPr>
          <w:rFonts w:ascii="Arial" w:eastAsia="Arial" w:hAnsi="Arial" w:cs="Arial"/>
          <w:sz w:val="22"/>
          <w:szCs w:val="22"/>
        </w:rPr>
        <w:t>Se establece que los actos realizados por el fallido sobre bienes desapoderados son ineficaces ipso iure, sin necesidad de tra</w:t>
      </w:r>
      <w:r>
        <w:rPr>
          <w:rFonts w:ascii="Arial" w:eastAsia="Arial" w:hAnsi="Arial" w:cs="Arial"/>
          <w:sz w:val="22"/>
          <w:szCs w:val="22"/>
        </w:rPr>
        <w:t>mitar la acción prevista en el art. 119. Se argumenta que exigir dicho trámite sería incoherente con lo dispuesto en el art. 118 para actos en el período de sospecha.</w:t>
      </w:r>
    </w:p>
    <w:p w:rsidR="00287724" w:rsidRDefault="00916EC4">
      <w:pPr>
        <w:tabs>
          <w:tab w:val="left" w:pos="3735"/>
        </w:tabs>
        <w:spacing w:line="360" w:lineRule="auto"/>
        <w:jc w:val="both"/>
        <w:rPr>
          <w:rFonts w:ascii="Arial" w:eastAsia="Arial" w:hAnsi="Arial" w:cs="Arial"/>
          <w:sz w:val="22"/>
          <w:szCs w:val="22"/>
        </w:rPr>
      </w:pPr>
      <w:r>
        <w:rPr>
          <w:rFonts w:ascii="Arial" w:eastAsia="Arial" w:hAnsi="Arial" w:cs="Arial"/>
          <w:sz w:val="22"/>
          <w:szCs w:val="22"/>
        </w:rPr>
        <w:t>Desde la declaración de quiebra, el deudor queda automáticamente desapoderado de sus bien</w:t>
      </w:r>
      <w:r>
        <w:rPr>
          <w:rFonts w:ascii="Arial" w:eastAsia="Arial" w:hAnsi="Arial" w:cs="Arial"/>
          <w:sz w:val="22"/>
          <w:szCs w:val="22"/>
        </w:rPr>
        <w:t>es, sin posibilidad de disponer o administrar sobre ellos. Esto cristaliza el patrimonio para garantizar la igualdad entre acreedores.</w:t>
      </w:r>
    </w:p>
    <w:p w:rsidR="00287724" w:rsidRDefault="00916EC4">
      <w:pPr>
        <w:tabs>
          <w:tab w:val="left" w:pos="3735"/>
        </w:tabs>
        <w:spacing w:line="360" w:lineRule="auto"/>
        <w:jc w:val="both"/>
        <w:rPr>
          <w:rFonts w:ascii="Arial" w:eastAsia="Arial" w:hAnsi="Arial" w:cs="Arial"/>
          <w:sz w:val="22"/>
          <w:szCs w:val="22"/>
        </w:rPr>
      </w:pPr>
      <w:r>
        <w:rPr>
          <w:rFonts w:ascii="Arial" w:eastAsia="Arial" w:hAnsi="Arial" w:cs="Arial"/>
          <w:sz w:val="22"/>
          <w:szCs w:val="22"/>
        </w:rPr>
        <w:t>Por lo que el Tribunal confirma la ineficacia de la venta realizada por el fallido, así como la prohibición de innovar, d</w:t>
      </w:r>
      <w:r>
        <w:rPr>
          <w:rFonts w:ascii="Arial" w:eastAsia="Arial" w:hAnsi="Arial" w:cs="Arial"/>
          <w:sz w:val="22"/>
          <w:szCs w:val="22"/>
        </w:rPr>
        <w:t xml:space="preserve">ado que el acto fue posterior a la declaración de quiebra, sin validez frente a la masa de acreedores, y la compradora consintió la decisión sin impugnarla. Rechazando el recurso interpuesto imponiendo las costas de Alzada a cargo del apelante. </w:t>
      </w:r>
    </w:p>
    <w:p w:rsidR="00287724" w:rsidRDefault="00916EC4">
      <w:pPr>
        <w:tabs>
          <w:tab w:val="left" w:pos="3735"/>
        </w:tabs>
        <w:spacing w:line="360" w:lineRule="auto"/>
        <w:jc w:val="both"/>
        <w:rPr>
          <w:rFonts w:ascii="Arial" w:eastAsia="Arial" w:hAnsi="Arial" w:cs="Arial"/>
          <w:sz w:val="22"/>
          <w:szCs w:val="22"/>
        </w:rPr>
      </w:pPr>
      <w:r>
        <w:rPr>
          <w:rFonts w:ascii="Arial" w:eastAsia="Arial" w:hAnsi="Arial" w:cs="Arial"/>
          <w:sz w:val="22"/>
          <w:szCs w:val="22"/>
        </w:rPr>
        <w:t>Otro fallo</w:t>
      </w:r>
      <w:r>
        <w:rPr>
          <w:rFonts w:ascii="Arial" w:eastAsia="Arial" w:hAnsi="Arial" w:cs="Arial"/>
          <w:sz w:val="22"/>
          <w:szCs w:val="22"/>
        </w:rPr>
        <w:t xml:space="preserve"> donde se denota claramente la ineficacia de pleno derecho se puede nombrar al caso Falcone María Josefa s/ Quiebra </w:t>
      </w:r>
      <w:r>
        <w:rPr>
          <w:rFonts w:ascii="Arial" w:eastAsia="Arial" w:hAnsi="Arial" w:cs="Arial"/>
          <w:sz w:val="22"/>
          <w:szCs w:val="22"/>
          <w:vertAlign w:val="superscript"/>
        </w:rPr>
        <w:footnoteReference w:id="3"/>
      </w:r>
      <w:r>
        <w:rPr>
          <w:rFonts w:ascii="Arial" w:eastAsia="Arial" w:hAnsi="Arial" w:cs="Arial"/>
          <w:sz w:val="22"/>
          <w:szCs w:val="22"/>
        </w:rPr>
        <w:t>, donde el contrato de locación cuestionado se celebró entre la fallida y la apelante, después de declarada la quiebra de ésta, sin interve</w:t>
      </w:r>
      <w:r>
        <w:rPr>
          <w:rFonts w:ascii="Arial" w:eastAsia="Arial" w:hAnsi="Arial" w:cs="Arial"/>
          <w:sz w:val="22"/>
          <w:szCs w:val="22"/>
        </w:rPr>
        <w:t>nción del síndico y sin autorización judicial, en tales condiciones, ese contrato es ineficaz, pues así resulta de lo dispuesto en el art. 109  de la ley 24522, cuando la norma claramente dispone que los actos realizados por el fallido sobre los bienes des</w:t>
      </w:r>
      <w:r>
        <w:rPr>
          <w:rFonts w:ascii="Arial" w:eastAsia="Arial" w:hAnsi="Arial" w:cs="Arial"/>
          <w:sz w:val="22"/>
          <w:szCs w:val="22"/>
        </w:rPr>
        <w:t>apoderados son ineficaces.</w:t>
      </w:r>
    </w:p>
    <w:p w:rsidR="00287724" w:rsidRDefault="00916EC4">
      <w:pPr>
        <w:tabs>
          <w:tab w:val="left" w:pos="3735"/>
        </w:tabs>
        <w:spacing w:line="360" w:lineRule="auto"/>
        <w:jc w:val="both"/>
        <w:rPr>
          <w:rFonts w:ascii="Arial" w:eastAsia="Arial" w:hAnsi="Arial" w:cs="Arial"/>
          <w:sz w:val="22"/>
          <w:szCs w:val="22"/>
        </w:rPr>
      </w:pPr>
      <w:r>
        <w:rPr>
          <w:rFonts w:ascii="Arial" w:eastAsia="Arial" w:hAnsi="Arial" w:cs="Arial"/>
          <w:sz w:val="22"/>
          <w:szCs w:val="22"/>
        </w:rPr>
        <w:t>Asimismo, se puede mencionar como jurisprudencia similar al caso bajo análisis el fallo “Carus Ramona s/ quiebra</w:t>
      </w:r>
      <w:r>
        <w:rPr>
          <w:rFonts w:ascii="Arial" w:eastAsia="Arial" w:hAnsi="Arial" w:cs="Arial"/>
          <w:sz w:val="22"/>
          <w:szCs w:val="22"/>
          <w:vertAlign w:val="superscript"/>
        </w:rPr>
        <w:footnoteReference w:id="4"/>
      </w:r>
      <w:r>
        <w:rPr>
          <w:rFonts w:ascii="Arial" w:eastAsia="Arial" w:hAnsi="Arial" w:cs="Arial"/>
          <w:sz w:val="22"/>
          <w:szCs w:val="22"/>
        </w:rPr>
        <w:t>, donde se ratifica que los actos dispositivos posteriores a la quiebra son ineficaces respecto a la masa, sin perju</w:t>
      </w:r>
      <w:r>
        <w:rPr>
          <w:rFonts w:ascii="Arial" w:eastAsia="Arial" w:hAnsi="Arial" w:cs="Arial"/>
          <w:sz w:val="22"/>
          <w:szCs w:val="22"/>
        </w:rPr>
        <w:t>icio de su validez entre partes. Confirmando</w:t>
      </w:r>
      <w:r>
        <w:t xml:space="preserve"> </w:t>
      </w:r>
      <w:r>
        <w:rPr>
          <w:rFonts w:ascii="Arial" w:eastAsia="Arial" w:hAnsi="Arial" w:cs="Arial"/>
          <w:sz w:val="22"/>
          <w:szCs w:val="22"/>
        </w:rPr>
        <w:t>el rechazo in limine de un planteo de nulidad presentado por un comprador (el “quejoso”) contra una sentencia que había declarado ineficaz de pleno derecho la venta de un automotor realizada por un fallido despu</w:t>
      </w:r>
      <w:r>
        <w:rPr>
          <w:rFonts w:ascii="Arial" w:eastAsia="Arial" w:hAnsi="Arial" w:cs="Arial"/>
          <w:sz w:val="22"/>
          <w:szCs w:val="22"/>
        </w:rPr>
        <w:t xml:space="preserve">és de decretada su quiebra, aplicando el art. 109 de la Ley de Concursos y Quiebras (LCQ). </w:t>
      </w:r>
    </w:p>
    <w:p w:rsidR="00287724" w:rsidRDefault="00916EC4">
      <w:pPr>
        <w:tabs>
          <w:tab w:val="left" w:pos="3735"/>
        </w:tabs>
        <w:spacing w:line="360" w:lineRule="auto"/>
        <w:jc w:val="both"/>
        <w:rPr>
          <w:rFonts w:ascii="Arial" w:eastAsia="Arial" w:hAnsi="Arial" w:cs="Arial"/>
          <w:sz w:val="22"/>
          <w:szCs w:val="22"/>
        </w:rPr>
      </w:pPr>
      <w:r>
        <w:rPr>
          <w:rFonts w:ascii="Arial" w:eastAsia="Arial" w:hAnsi="Arial" w:cs="Arial"/>
          <w:sz w:val="22"/>
          <w:szCs w:val="22"/>
        </w:rPr>
        <w:t>Indicando que</w:t>
      </w:r>
      <w:r>
        <w:rPr>
          <w:rFonts w:ascii="Arial" w:eastAsia="Arial" w:hAnsi="Arial" w:cs="Arial"/>
          <w:b/>
          <w:sz w:val="22"/>
          <w:szCs w:val="22"/>
        </w:rPr>
        <w:t xml:space="preserve"> </w:t>
      </w:r>
      <w:r>
        <w:rPr>
          <w:rFonts w:ascii="Arial" w:eastAsia="Arial" w:hAnsi="Arial" w:cs="Arial"/>
          <w:sz w:val="22"/>
          <w:szCs w:val="22"/>
        </w:rPr>
        <w:t>la Alzada sostuvo que los actos celebrados por el fallido tras la quiebra son ineficaces de pleno derecho, sin necesidad de promover acción judicial c</w:t>
      </w:r>
      <w:r>
        <w:rPr>
          <w:rFonts w:ascii="Arial" w:eastAsia="Arial" w:hAnsi="Arial" w:cs="Arial"/>
          <w:sz w:val="22"/>
          <w:szCs w:val="22"/>
        </w:rPr>
        <w:t>onforme al art. 119 LCQ, ya que el desapoderamiento ocurre automáticamente con la quiebra.</w:t>
      </w:r>
    </w:p>
    <w:p w:rsidR="00287724" w:rsidRDefault="00916EC4">
      <w:pPr>
        <w:tabs>
          <w:tab w:val="left" w:pos="3735"/>
        </w:tabs>
        <w:spacing w:line="360" w:lineRule="auto"/>
        <w:jc w:val="both"/>
        <w:rPr>
          <w:rFonts w:ascii="Arial" w:eastAsia="Arial" w:hAnsi="Arial" w:cs="Arial"/>
          <w:sz w:val="22"/>
          <w:szCs w:val="22"/>
        </w:rPr>
      </w:pPr>
      <w:r>
        <w:rPr>
          <w:rFonts w:ascii="Arial" w:eastAsia="Arial" w:hAnsi="Arial" w:cs="Arial"/>
          <w:sz w:val="22"/>
          <w:szCs w:val="22"/>
        </w:rPr>
        <w:t xml:space="preserve">Considerando que la buena fe no puede prevalecer frente a los efectos universales de la quiebra, y la falta de inscripción registral no impide la eficacia inmediata </w:t>
      </w:r>
      <w:r>
        <w:rPr>
          <w:rFonts w:ascii="Arial" w:eastAsia="Arial" w:hAnsi="Arial" w:cs="Arial"/>
          <w:sz w:val="22"/>
          <w:szCs w:val="22"/>
        </w:rPr>
        <w:t>del desapoderamiento.</w:t>
      </w:r>
    </w:p>
    <w:p w:rsidR="00287724" w:rsidRDefault="00916EC4">
      <w:pPr>
        <w:tabs>
          <w:tab w:val="left" w:pos="3735"/>
        </w:tabs>
        <w:spacing w:line="360" w:lineRule="auto"/>
        <w:jc w:val="both"/>
        <w:rPr>
          <w:rFonts w:ascii="Arial" w:eastAsia="Arial" w:hAnsi="Arial" w:cs="Arial"/>
          <w:sz w:val="22"/>
          <w:szCs w:val="22"/>
        </w:rPr>
      </w:pPr>
      <w:r>
        <w:rPr>
          <w:rFonts w:ascii="Arial" w:eastAsia="Arial" w:hAnsi="Arial" w:cs="Arial"/>
          <w:sz w:val="22"/>
          <w:szCs w:val="22"/>
        </w:rPr>
        <w:t>Además, la condición de consumidor no impide que recurra por otras vías contra quien corresponda, pero no anula la ineficacia del acto.</w:t>
      </w:r>
    </w:p>
    <w:p w:rsidR="00287724" w:rsidRDefault="00916EC4">
      <w:pPr>
        <w:tabs>
          <w:tab w:val="left" w:pos="3735"/>
        </w:tabs>
        <w:spacing w:line="360" w:lineRule="auto"/>
        <w:jc w:val="both"/>
        <w:rPr>
          <w:rFonts w:ascii="Arial" w:eastAsia="Arial" w:hAnsi="Arial" w:cs="Arial"/>
          <w:sz w:val="22"/>
          <w:szCs w:val="22"/>
        </w:rPr>
      </w:pPr>
      <w:r>
        <w:rPr>
          <w:rFonts w:ascii="Arial" w:eastAsia="Arial" w:hAnsi="Arial" w:cs="Arial"/>
          <w:sz w:val="22"/>
          <w:szCs w:val="22"/>
        </w:rPr>
        <w:t>El mencionado fallo reafirma que la declaración de quiebra produce de pleno derecho el desapoderam</w:t>
      </w:r>
      <w:r>
        <w:rPr>
          <w:rFonts w:ascii="Arial" w:eastAsia="Arial" w:hAnsi="Arial" w:cs="Arial"/>
          <w:sz w:val="22"/>
          <w:szCs w:val="22"/>
        </w:rPr>
        <w:t>iento del fallido, y que los actos celebrados por este sobre sus bienes desde ese momento carecen de efectos jurídicos, sin que medie acción judicial previa.</w:t>
      </w:r>
    </w:p>
    <w:p w:rsidR="00287724" w:rsidRDefault="00916EC4">
      <w:pPr>
        <w:spacing w:before="280" w:after="280" w:line="360" w:lineRule="auto"/>
        <w:jc w:val="both"/>
        <w:rPr>
          <w:rFonts w:ascii="Arial" w:eastAsia="Arial" w:hAnsi="Arial" w:cs="Arial"/>
          <w:sz w:val="22"/>
          <w:szCs w:val="22"/>
        </w:rPr>
      </w:pPr>
      <w:r>
        <w:rPr>
          <w:rFonts w:ascii="Arial" w:eastAsia="Arial" w:hAnsi="Arial" w:cs="Arial"/>
          <w:sz w:val="22"/>
          <w:szCs w:val="22"/>
        </w:rPr>
        <w:t>La ineficacia de los actos realizados en violación al art. 109 de la ley 24.522 puede ser directamente declarada por el juez aun cuando la norma remita al art. 119 de ese ordenamiento, ya que se trata de un efecto de la quiebra que se produce de pleno dere</w:t>
      </w:r>
      <w:r>
        <w:rPr>
          <w:rFonts w:ascii="Arial" w:eastAsia="Arial" w:hAnsi="Arial" w:cs="Arial"/>
          <w:sz w:val="22"/>
          <w:szCs w:val="22"/>
        </w:rPr>
        <w:t>cho, como consecuencia del desapoderamiento efectivizado automáticamente con la falencia.</w:t>
      </w:r>
    </w:p>
    <w:p w:rsidR="00287724" w:rsidRDefault="00916EC4">
      <w:pPr>
        <w:spacing w:before="280" w:after="280" w:line="360" w:lineRule="auto"/>
        <w:jc w:val="both"/>
        <w:rPr>
          <w:rFonts w:ascii="Arial" w:eastAsia="Arial" w:hAnsi="Arial" w:cs="Arial"/>
          <w:sz w:val="22"/>
          <w:szCs w:val="22"/>
        </w:rPr>
      </w:pPr>
      <w:r>
        <w:rPr>
          <w:rFonts w:ascii="Arial" w:eastAsia="Arial" w:hAnsi="Arial" w:cs="Arial"/>
          <w:sz w:val="22"/>
          <w:szCs w:val="22"/>
        </w:rPr>
        <w:t>La venta de un rodado de titularidad de la fallida realizada con posterioridad al decreto de quiebra es un acto ineficaz aun cuando el tercero invoque buena fe o no s</w:t>
      </w:r>
      <w:r>
        <w:rPr>
          <w:rFonts w:ascii="Arial" w:eastAsia="Arial" w:hAnsi="Arial" w:cs="Arial"/>
          <w:sz w:val="22"/>
          <w:szCs w:val="22"/>
        </w:rPr>
        <w:t xml:space="preserve">e encuentre anotada la inhibición general de bienes en cabeza del deudor, pues estas circunstancias no pueden influir en la vocación universal propia de la quiebra que afecta todo el patrimonio de aquel al ordenamiento concursal, ello sin perjuicio de que </w:t>
      </w:r>
      <w:r>
        <w:rPr>
          <w:rFonts w:ascii="Arial" w:eastAsia="Arial" w:hAnsi="Arial" w:cs="Arial"/>
          <w:sz w:val="22"/>
          <w:szCs w:val="22"/>
        </w:rPr>
        <w:t>este recurra por otras vías procesales y contra quien corresponda, para actuar en defensa de sus derechos.</w:t>
      </w:r>
    </w:p>
    <w:p w:rsidR="00287724" w:rsidRDefault="00916EC4">
      <w:pPr>
        <w:spacing w:before="280" w:after="280" w:line="360" w:lineRule="auto"/>
        <w:jc w:val="both"/>
        <w:rPr>
          <w:rFonts w:ascii="Arial" w:eastAsia="Arial" w:hAnsi="Arial" w:cs="Arial"/>
          <w:sz w:val="22"/>
          <w:szCs w:val="22"/>
        </w:rPr>
      </w:pPr>
      <w:r>
        <w:rPr>
          <w:rFonts w:ascii="Arial" w:eastAsia="Arial" w:hAnsi="Arial" w:cs="Arial"/>
          <w:sz w:val="22"/>
          <w:szCs w:val="22"/>
        </w:rPr>
        <w:t xml:space="preserve">Respecto del desapoderamiento previsto en el art. 107 de la ley 24.522 no solo alcanza a los bienes registrables, sino también a aquellos otros que, </w:t>
      </w:r>
      <w:r>
        <w:rPr>
          <w:rFonts w:ascii="Arial" w:eastAsia="Arial" w:hAnsi="Arial" w:cs="Arial"/>
          <w:sz w:val="22"/>
          <w:szCs w:val="22"/>
        </w:rPr>
        <w:t>por su naturaleza, no resultan susceptibles de ser afectados mediante una anotación registral.</w:t>
      </w:r>
    </w:p>
    <w:p w:rsidR="00287724" w:rsidRDefault="00916EC4">
      <w:pPr>
        <w:spacing w:before="280" w:after="280" w:line="360" w:lineRule="auto"/>
        <w:jc w:val="both"/>
        <w:rPr>
          <w:rFonts w:ascii="Arial" w:eastAsia="Arial" w:hAnsi="Arial" w:cs="Arial"/>
          <w:i/>
          <w:sz w:val="22"/>
          <w:szCs w:val="22"/>
        </w:rPr>
      </w:pPr>
      <w:r>
        <w:rPr>
          <w:rFonts w:ascii="Arial" w:eastAsia="Arial" w:hAnsi="Arial" w:cs="Arial"/>
          <w:sz w:val="22"/>
          <w:szCs w:val="22"/>
        </w:rPr>
        <w:t xml:space="preserve">También analizando la doctrina que sienta bases sobre el tema se puede mencionar a los manifestado por el Dr. Dario J. Graziabile </w:t>
      </w:r>
      <w:r>
        <w:rPr>
          <w:rFonts w:ascii="Arial" w:eastAsia="Arial" w:hAnsi="Arial" w:cs="Arial"/>
          <w:sz w:val="22"/>
          <w:szCs w:val="22"/>
          <w:vertAlign w:val="superscript"/>
        </w:rPr>
        <w:footnoteReference w:id="5"/>
      </w:r>
      <w:r>
        <w:rPr>
          <w:rFonts w:ascii="Arial" w:eastAsia="Arial" w:hAnsi="Arial" w:cs="Arial"/>
          <w:sz w:val="22"/>
          <w:szCs w:val="22"/>
        </w:rPr>
        <w:t xml:space="preserve"> respecto de la Inoponibilidad</w:t>
      </w:r>
      <w:r>
        <w:rPr>
          <w:rFonts w:ascii="Arial" w:eastAsia="Arial" w:hAnsi="Arial" w:cs="Arial"/>
          <w:sz w:val="22"/>
          <w:szCs w:val="22"/>
        </w:rPr>
        <w:t xml:space="preserve"> dice </w:t>
      </w:r>
      <w:r>
        <w:rPr>
          <w:rFonts w:ascii="Arial" w:eastAsia="Arial" w:hAnsi="Arial" w:cs="Arial"/>
          <w:i/>
          <w:sz w:val="22"/>
          <w:szCs w:val="22"/>
        </w:rPr>
        <w:t>que “el Régimen Concursal prevé la sanción de inoponibilidad respecto de los actos otorgados por el concursado en infracción al sistema de desapoderamiento. De igual manera y con la misma consecuencia se sanciona a los pagos hechos al fallido o los p</w:t>
      </w:r>
      <w:r>
        <w:rPr>
          <w:rFonts w:ascii="Arial" w:eastAsia="Arial" w:hAnsi="Arial" w:cs="Arial"/>
          <w:i/>
          <w:sz w:val="22"/>
          <w:szCs w:val="22"/>
        </w:rPr>
        <w:t>or el realizados, luego de decretada la quiebra. Tratándose de una inoponibilidad, ni la buena fe ni el titulo oneroso, pueden hacerse valer ante el estado falencial, pues el acto impugnado no es nulo ni anulable, sino inoponible, y tal inoponibilidad se e</w:t>
      </w:r>
      <w:r>
        <w:rPr>
          <w:rFonts w:ascii="Arial" w:eastAsia="Arial" w:hAnsi="Arial" w:cs="Arial"/>
          <w:i/>
          <w:sz w:val="22"/>
          <w:szCs w:val="22"/>
        </w:rPr>
        <w:t>ncuentra ligada al interés público que se imbrica en el proceso concursal”</w:t>
      </w:r>
    </w:p>
    <w:p w:rsidR="00287724" w:rsidRDefault="00916EC4">
      <w:pPr>
        <w:spacing w:before="280" w:after="280" w:line="360" w:lineRule="auto"/>
        <w:jc w:val="both"/>
        <w:rPr>
          <w:rFonts w:ascii="Arial" w:eastAsia="Arial" w:hAnsi="Arial" w:cs="Arial"/>
          <w:sz w:val="22"/>
          <w:szCs w:val="22"/>
        </w:rPr>
      </w:pPr>
      <w:r>
        <w:rPr>
          <w:rFonts w:ascii="Arial" w:eastAsia="Arial" w:hAnsi="Arial" w:cs="Arial"/>
          <w:sz w:val="22"/>
          <w:szCs w:val="22"/>
        </w:rPr>
        <w:t xml:space="preserve">El </w:t>
      </w:r>
      <w:r>
        <w:rPr>
          <w:rFonts w:ascii="Arial" w:eastAsia="Arial" w:hAnsi="Arial" w:cs="Arial"/>
          <w:sz w:val="22"/>
          <w:szCs w:val="22"/>
        </w:rPr>
        <w:t>concepto de inoponibilidad</w:t>
      </w:r>
      <w:r>
        <w:rPr>
          <w:rFonts w:ascii="Arial" w:eastAsia="Arial" w:hAnsi="Arial" w:cs="Arial"/>
          <w:b/>
          <w:sz w:val="22"/>
          <w:szCs w:val="22"/>
        </w:rPr>
        <w:t xml:space="preserve"> </w:t>
      </w:r>
      <w:r>
        <w:rPr>
          <w:rFonts w:ascii="Arial" w:eastAsia="Arial" w:hAnsi="Arial" w:cs="Arial"/>
          <w:sz w:val="22"/>
          <w:szCs w:val="22"/>
        </w:rPr>
        <w:t>en el Derecho Concursal, y específicamente en los procesos de quiebra, implica que ciertos actos realizados por el fallido (es decir, el deudor declara</w:t>
      </w:r>
      <w:r>
        <w:rPr>
          <w:rFonts w:ascii="Arial" w:eastAsia="Arial" w:hAnsi="Arial" w:cs="Arial"/>
          <w:sz w:val="22"/>
          <w:szCs w:val="22"/>
        </w:rPr>
        <w:t xml:space="preserve">do en quiebra) </w:t>
      </w:r>
      <w:r>
        <w:rPr>
          <w:rFonts w:ascii="Arial" w:eastAsia="Arial" w:hAnsi="Arial" w:cs="Arial"/>
          <w:sz w:val="22"/>
          <w:szCs w:val="22"/>
        </w:rPr>
        <w:t>no pueden hacerse valer frente a la masa de acreedores y al proceso concursal</w:t>
      </w:r>
      <w:r>
        <w:rPr>
          <w:rFonts w:ascii="Arial" w:eastAsia="Arial" w:hAnsi="Arial" w:cs="Arial"/>
          <w:sz w:val="22"/>
          <w:szCs w:val="22"/>
        </w:rPr>
        <w:t xml:space="preserve">. No significa que esos actos sean nulos (como si nunca hubieran existido) ni anulables (como si se pudieran invalidar a pedido de parte), sino que </w:t>
      </w:r>
      <w:r>
        <w:rPr>
          <w:rFonts w:ascii="Arial" w:eastAsia="Arial" w:hAnsi="Arial" w:cs="Arial"/>
          <w:sz w:val="22"/>
          <w:szCs w:val="22"/>
        </w:rPr>
        <w:t>carecen de efica</w:t>
      </w:r>
      <w:r>
        <w:rPr>
          <w:rFonts w:ascii="Arial" w:eastAsia="Arial" w:hAnsi="Arial" w:cs="Arial"/>
          <w:sz w:val="22"/>
          <w:szCs w:val="22"/>
        </w:rPr>
        <w:t>cia respecto de la quiebra y sus efectos</w:t>
      </w:r>
      <w:r>
        <w:rPr>
          <w:rFonts w:ascii="Arial" w:eastAsia="Arial" w:hAnsi="Arial" w:cs="Arial"/>
          <w:sz w:val="22"/>
          <w:szCs w:val="22"/>
        </w:rPr>
        <w:t>.</w:t>
      </w:r>
    </w:p>
    <w:p w:rsidR="00287724" w:rsidRDefault="00916EC4">
      <w:pPr>
        <w:spacing w:before="280" w:after="280" w:line="360" w:lineRule="auto"/>
        <w:jc w:val="both"/>
        <w:rPr>
          <w:rFonts w:ascii="Arial" w:eastAsia="Arial" w:hAnsi="Arial" w:cs="Arial"/>
          <w:sz w:val="22"/>
          <w:szCs w:val="22"/>
        </w:rPr>
      </w:pPr>
      <w:r>
        <w:rPr>
          <w:rFonts w:ascii="Arial" w:eastAsia="Arial" w:hAnsi="Arial" w:cs="Arial"/>
          <w:sz w:val="22"/>
          <w:szCs w:val="22"/>
        </w:rPr>
        <w:t>El Dr. Graziabile menciona dos supuestos importantes:</w:t>
      </w:r>
    </w:p>
    <w:p w:rsidR="00287724" w:rsidRDefault="00916EC4">
      <w:pPr>
        <w:numPr>
          <w:ilvl w:val="0"/>
          <w:numId w:val="1"/>
        </w:numPr>
        <w:pBdr>
          <w:top w:val="nil"/>
          <w:left w:val="nil"/>
          <w:bottom w:val="nil"/>
          <w:right w:val="nil"/>
          <w:between w:val="nil"/>
        </w:pBdr>
        <w:spacing w:before="280" w:after="0" w:line="360" w:lineRule="auto"/>
        <w:jc w:val="both"/>
        <w:rPr>
          <w:color w:val="000000"/>
          <w:sz w:val="22"/>
          <w:szCs w:val="22"/>
        </w:rPr>
      </w:pPr>
      <w:r>
        <w:rPr>
          <w:rFonts w:ascii="Arial" w:eastAsia="Arial" w:hAnsi="Arial" w:cs="Arial"/>
          <w:color w:val="000000"/>
          <w:sz w:val="22"/>
          <w:szCs w:val="22"/>
        </w:rPr>
        <w:t>Actos otorgados por el concursado violando el desapoderamiento: Cuando se decreta la quiebra, el fallido pierde la administración y disposición de sus bienes (art. 107 Ley 24.522, Ley de Concursos y Quiebras de Argentina). Si, a pesar de ello, realiza acto</w:t>
      </w:r>
      <w:r>
        <w:rPr>
          <w:rFonts w:ascii="Arial" w:eastAsia="Arial" w:hAnsi="Arial" w:cs="Arial"/>
          <w:color w:val="000000"/>
          <w:sz w:val="22"/>
          <w:szCs w:val="22"/>
        </w:rPr>
        <w:t>s jurídicos (por ejemplo, vende un inmueble, constituye una garantía o asume una obligación) sin la intervención o autorización del síndico y del juez del concurso, esos actos son inoponibles al proceso y a los acreedores.</w:t>
      </w:r>
    </w:p>
    <w:p w:rsidR="00287724" w:rsidRDefault="00287724">
      <w:pPr>
        <w:pBdr>
          <w:top w:val="nil"/>
          <w:left w:val="nil"/>
          <w:bottom w:val="nil"/>
          <w:right w:val="nil"/>
          <w:between w:val="nil"/>
        </w:pBdr>
        <w:spacing w:after="0" w:line="360" w:lineRule="auto"/>
        <w:ind w:left="720"/>
        <w:jc w:val="both"/>
        <w:rPr>
          <w:rFonts w:ascii="Arial" w:eastAsia="Arial" w:hAnsi="Arial" w:cs="Arial"/>
          <w:color w:val="000000"/>
          <w:sz w:val="22"/>
          <w:szCs w:val="22"/>
        </w:rPr>
      </w:pPr>
    </w:p>
    <w:p w:rsidR="00287724" w:rsidRDefault="00916EC4">
      <w:pPr>
        <w:numPr>
          <w:ilvl w:val="0"/>
          <w:numId w:val="1"/>
        </w:numPr>
        <w:pBdr>
          <w:top w:val="nil"/>
          <w:left w:val="nil"/>
          <w:bottom w:val="nil"/>
          <w:right w:val="nil"/>
          <w:between w:val="nil"/>
        </w:pBdr>
        <w:spacing w:after="280" w:line="360" w:lineRule="auto"/>
        <w:jc w:val="both"/>
        <w:rPr>
          <w:color w:val="000000"/>
          <w:sz w:val="22"/>
          <w:szCs w:val="22"/>
        </w:rPr>
      </w:pPr>
      <w:r>
        <w:rPr>
          <w:rFonts w:ascii="Arial" w:eastAsia="Arial" w:hAnsi="Arial" w:cs="Arial"/>
          <w:color w:val="000000"/>
          <w:sz w:val="22"/>
          <w:szCs w:val="22"/>
        </w:rPr>
        <w:t>Pagos realizados por o al fallido después de la quiebra: Tanto si el fallido paga una deuda como si recibe un pago, después de decretada la quiebra y sin intervención de la sindicatura, esos pagos no tienen efectos frente al concurso. Se considera que vuln</w:t>
      </w:r>
      <w:r>
        <w:rPr>
          <w:rFonts w:ascii="Arial" w:eastAsia="Arial" w:hAnsi="Arial" w:cs="Arial"/>
          <w:color w:val="000000"/>
          <w:sz w:val="22"/>
          <w:szCs w:val="22"/>
        </w:rPr>
        <w:t>eran el principio de igualdad entre los acreedores.</w:t>
      </w:r>
    </w:p>
    <w:p w:rsidR="00287724" w:rsidRDefault="00916EC4">
      <w:pPr>
        <w:spacing w:before="280" w:after="280" w:line="360" w:lineRule="auto"/>
        <w:jc w:val="both"/>
        <w:rPr>
          <w:rFonts w:ascii="Arial" w:eastAsia="Arial" w:hAnsi="Arial" w:cs="Arial"/>
          <w:sz w:val="22"/>
          <w:szCs w:val="22"/>
        </w:rPr>
      </w:pPr>
      <w:r>
        <w:rPr>
          <w:rFonts w:ascii="Arial" w:eastAsia="Arial" w:hAnsi="Arial" w:cs="Arial"/>
          <w:sz w:val="22"/>
          <w:szCs w:val="22"/>
        </w:rPr>
        <w:t>De igual modo el Dr. Graziabile aclara que, en estos casos, aunque la persona que contrató o pagó con el fallido después de la quiebra haya actuado de buena fe y a cambio de una contraprestación válida (t</w:t>
      </w:r>
      <w:r>
        <w:rPr>
          <w:rFonts w:ascii="Arial" w:eastAsia="Arial" w:hAnsi="Arial" w:cs="Arial"/>
          <w:sz w:val="22"/>
          <w:szCs w:val="22"/>
        </w:rPr>
        <w:t>ítulo oneroso), igual no puede oponer ese acto al proceso concursal. Debido a que se protege no solo el interés privado de las partes, sino un interés público ligado al orden económico y a la tutela de la masa de acreedores, que debe preservarse en condici</w:t>
      </w:r>
      <w:r>
        <w:rPr>
          <w:rFonts w:ascii="Arial" w:eastAsia="Arial" w:hAnsi="Arial" w:cs="Arial"/>
          <w:sz w:val="22"/>
          <w:szCs w:val="22"/>
        </w:rPr>
        <w:t>ones de igualdad. Por lo tanto, no se trata de nulidad ni anulabilidad: los actos existen, pero son inoponibles. Siendo que la buena fe y el título oneroso no salvan a quien contrató o pagó con el fallido después de la quiebra. Protegiendo el interés públi</w:t>
      </w:r>
      <w:r>
        <w:rPr>
          <w:rFonts w:ascii="Arial" w:eastAsia="Arial" w:hAnsi="Arial" w:cs="Arial"/>
          <w:sz w:val="22"/>
          <w:szCs w:val="22"/>
        </w:rPr>
        <w:t>co del proceso falencial y la igualdad de los acreedores. Tratándose de un sistema de intangibilidad patrimonial a favor de los acreedores. Teniendo en cuenta que la inoponibilidad es la consecuencia concreta de la violación de las reglas del desapoderamie</w:t>
      </w:r>
      <w:r>
        <w:rPr>
          <w:rFonts w:ascii="Arial" w:eastAsia="Arial" w:hAnsi="Arial" w:cs="Arial"/>
          <w:sz w:val="22"/>
          <w:szCs w:val="22"/>
        </w:rPr>
        <w:t>nto, pues ante la afectación de la integridad patrimonial, a través de los actos realizados por el fallido, la ley prevé que ello no afecte a los acreedores. El acto continúa siendo válido entre las partes otorgantes, ya que en el caso de que la quiebra co</w:t>
      </w:r>
      <w:r>
        <w:rPr>
          <w:rFonts w:ascii="Arial" w:eastAsia="Arial" w:hAnsi="Arial" w:cs="Arial"/>
          <w:sz w:val="22"/>
          <w:szCs w:val="22"/>
        </w:rPr>
        <w:t xml:space="preserve">ncluya sin que se liquide dicho bien objeto de la inoponibilidad el mismo será restituido al tercero. </w:t>
      </w:r>
    </w:p>
    <w:p w:rsidR="00287724" w:rsidRDefault="00916EC4">
      <w:pPr>
        <w:spacing w:before="280" w:after="280" w:line="360" w:lineRule="auto"/>
        <w:jc w:val="both"/>
        <w:rPr>
          <w:rFonts w:ascii="Arial" w:eastAsia="Arial" w:hAnsi="Arial" w:cs="Arial"/>
          <w:sz w:val="22"/>
          <w:szCs w:val="22"/>
        </w:rPr>
      </w:pPr>
      <w:r>
        <w:rPr>
          <w:rFonts w:ascii="Arial" w:eastAsia="Arial" w:hAnsi="Arial" w:cs="Arial"/>
          <w:sz w:val="22"/>
          <w:szCs w:val="22"/>
        </w:rPr>
        <w:t>Asimismo, conforme a los arts. 108 y 109 de la Ley de Concursos y Quiebras N.º 24.522, desde la sentencia de quiebra se produce la indisponibilidad de bi</w:t>
      </w:r>
      <w:r>
        <w:rPr>
          <w:rFonts w:ascii="Arial" w:eastAsia="Arial" w:hAnsi="Arial" w:cs="Arial"/>
          <w:sz w:val="22"/>
          <w:szCs w:val="22"/>
        </w:rPr>
        <w:t>enes, y cualquier acto de disposición posterior resulta ineficaz respecto de la masa de acreedores.</w:t>
      </w:r>
    </w:p>
    <w:p w:rsidR="00287724" w:rsidRDefault="00916EC4">
      <w:pPr>
        <w:spacing w:before="280" w:after="280" w:line="360" w:lineRule="auto"/>
        <w:jc w:val="both"/>
        <w:rPr>
          <w:rFonts w:ascii="Arial" w:eastAsia="Arial" w:hAnsi="Arial" w:cs="Arial"/>
          <w:sz w:val="22"/>
          <w:szCs w:val="22"/>
        </w:rPr>
      </w:pPr>
      <w:r>
        <w:rPr>
          <w:rFonts w:ascii="Arial" w:eastAsia="Arial" w:hAnsi="Arial" w:cs="Arial"/>
          <w:sz w:val="22"/>
          <w:szCs w:val="22"/>
        </w:rPr>
        <w:t>En este caso, aunque registralmente la transferencia era posible por no estar anotada aún la inhibición, la sentencia de quiebra es de fecha cierta y públic</w:t>
      </w:r>
      <w:r>
        <w:rPr>
          <w:rFonts w:ascii="Arial" w:eastAsia="Arial" w:hAnsi="Arial" w:cs="Arial"/>
          <w:sz w:val="22"/>
          <w:szCs w:val="22"/>
        </w:rPr>
        <w:t>a desde su dictado. Por ende, la transferencia realizada el 16/12/2024 resulta ineficaz respecto de la quiebra.</w:t>
      </w:r>
    </w:p>
    <w:p w:rsidR="00287724" w:rsidRDefault="00916EC4">
      <w:pPr>
        <w:spacing w:before="280" w:after="280" w:line="360" w:lineRule="auto"/>
        <w:jc w:val="both"/>
        <w:rPr>
          <w:rFonts w:ascii="Arial" w:eastAsia="Arial" w:hAnsi="Arial" w:cs="Arial"/>
          <w:sz w:val="22"/>
          <w:szCs w:val="22"/>
        </w:rPr>
      </w:pPr>
      <w:r>
        <w:rPr>
          <w:rFonts w:ascii="Arial" w:eastAsia="Arial" w:hAnsi="Arial" w:cs="Arial"/>
          <w:sz w:val="22"/>
          <w:szCs w:val="22"/>
        </w:rPr>
        <w:t>La disposición efectuada por el fallido resulta ineficaz de pleno derecho frente a la masa de acreedores, en los términos del artículo 109 de la</w:t>
      </w:r>
      <w:r>
        <w:rPr>
          <w:rFonts w:ascii="Arial" w:eastAsia="Arial" w:hAnsi="Arial" w:cs="Arial"/>
          <w:sz w:val="22"/>
          <w:szCs w:val="22"/>
        </w:rPr>
        <w:t xml:space="preserve"> LCQ, que establece que “los actos realizados por el fallido sobre los bienes desapoderados, así como los pagos que hiciere o recibiere, son ineficaces”.</w:t>
      </w:r>
    </w:p>
    <w:p w:rsidR="00287724" w:rsidRDefault="00916EC4">
      <w:pPr>
        <w:spacing w:before="280" w:after="280" w:line="360" w:lineRule="auto"/>
        <w:jc w:val="both"/>
        <w:rPr>
          <w:rFonts w:ascii="Arial" w:eastAsia="Arial" w:hAnsi="Arial" w:cs="Arial"/>
          <w:sz w:val="22"/>
          <w:szCs w:val="22"/>
        </w:rPr>
      </w:pPr>
      <w:r>
        <w:rPr>
          <w:rFonts w:ascii="Arial" w:eastAsia="Arial" w:hAnsi="Arial" w:cs="Arial"/>
          <w:sz w:val="22"/>
          <w:szCs w:val="22"/>
        </w:rPr>
        <w:t>Tal disposición se encuentra amparada por abundante jurisprudencia ("Manuel Iñiguez SACIA s/ quiebra",</w:t>
      </w:r>
      <w:r>
        <w:rPr>
          <w:rFonts w:ascii="Arial" w:eastAsia="Arial" w:hAnsi="Arial" w:cs="Arial"/>
          <w:sz w:val="22"/>
          <w:szCs w:val="22"/>
        </w:rPr>
        <w:t xml:space="preserve"> “Schiselman s/ Quiebra”, entre otros) y doctrina reconocida (Graziabile, Darío), que establece que no se requiere la inscripción previa de la inhibición ni se considera válida la buena fe del adquirente, en tanto se trata de una inoponibilidad legal objet</w:t>
      </w:r>
      <w:r>
        <w:rPr>
          <w:rFonts w:ascii="Arial" w:eastAsia="Arial" w:hAnsi="Arial" w:cs="Arial"/>
          <w:sz w:val="22"/>
          <w:szCs w:val="22"/>
        </w:rPr>
        <w:t>iva, que protege el orden público concursal y la igualdad entre acreedores.</w:t>
      </w:r>
    </w:p>
    <w:p w:rsidR="00287724" w:rsidRDefault="00916EC4">
      <w:pPr>
        <w:spacing w:before="280" w:after="280" w:line="360" w:lineRule="auto"/>
        <w:jc w:val="both"/>
        <w:rPr>
          <w:rFonts w:ascii="Arial" w:eastAsia="Arial" w:hAnsi="Arial" w:cs="Arial"/>
          <w:sz w:val="22"/>
          <w:szCs w:val="22"/>
        </w:rPr>
      </w:pPr>
      <w:r>
        <w:rPr>
          <w:rFonts w:ascii="Arial" w:eastAsia="Arial" w:hAnsi="Arial" w:cs="Arial"/>
          <w:b/>
          <w:sz w:val="22"/>
          <w:szCs w:val="22"/>
        </w:rPr>
        <w:t>Por lo expuesto como Sindico recomiendo:</w:t>
      </w:r>
    </w:p>
    <w:p w:rsidR="00287724" w:rsidRDefault="00916EC4">
      <w:pPr>
        <w:numPr>
          <w:ilvl w:val="0"/>
          <w:numId w:val="8"/>
        </w:numPr>
        <w:pBdr>
          <w:top w:val="nil"/>
          <w:left w:val="nil"/>
          <w:bottom w:val="nil"/>
          <w:right w:val="nil"/>
          <w:between w:val="nil"/>
        </w:pBdr>
        <w:spacing w:line="240" w:lineRule="auto"/>
        <w:jc w:val="both"/>
        <w:rPr>
          <w:color w:val="000000"/>
          <w:sz w:val="22"/>
          <w:szCs w:val="22"/>
        </w:rPr>
      </w:pPr>
      <w:r>
        <w:rPr>
          <w:rFonts w:ascii="Arial" w:eastAsia="Arial" w:hAnsi="Arial" w:cs="Arial"/>
          <w:b/>
          <w:color w:val="000000"/>
          <w:sz w:val="22"/>
          <w:szCs w:val="22"/>
        </w:rPr>
        <w:t>Dictamina la inoponibilidad</w:t>
      </w:r>
      <w:r>
        <w:rPr>
          <w:rFonts w:ascii="Arial" w:eastAsia="Arial" w:hAnsi="Arial" w:cs="Arial"/>
          <w:color w:val="000000"/>
          <w:sz w:val="22"/>
          <w:szCs w:val="22"/>
        </w:rPr>
        <w:t xml:space="preserve"> de la transferencia realizada por el fallido con fecha 16/12/2024 respecto al vehículo Audi A3, dominio MMM123,</w:t>
      </w:r>
      <w:r>
        <w:rPr>
          <w:rFonts w:ascii="Arial" w:eastAsia="Arial" w:hAnsi="Arial" w:cs="Arial"/>
          <w:color w:val="000000"/>
          <w:sz w:val="22"/>
          <w:szCs w:val="22"/>
        </w:rPr>
        <w:t xml:space="preserve"> conforme art. 109 LCQ.</w:t>
      </w:r>
    </w:p>
    <w:p w:rsidR="00287724" w:rsidRDefault="00287724">
      <w:pPr>
        <w:pBdr>
          <w:top w:val="nil"/>
          <w:left w:val="nil"/>
          <w:bottom w:val="nil"/>
          <w:right w:val="nil"/>
          <w:between w:val="nil"/>
        </w:pBdr>
        <w:spacing w:line="240" w:lineRule="auto"/>
        <w:ind w:left="720"/>
        <w:jc w:val="both"/>
        <w:rPr>
          <w:rFonts w:ascii="Arial" w:eastAsia="Arial" w:hAnsi="Arial" w:cs="Arial"/>
          <w:color w:val="000000"/>
          <w:sz w:val="22"/>
          <w:szCs w:val="22"/>
        </w:rPr>
      </w:pPr>
    </w:p>
    <w:p w:rsidR="00287724" w:rsidRDefault="00916EC4">
      <w:pPr>
        <w:numPr>
          <w:ilvl w:val="0"/>
          <w:numId w:val="8"/>
        </w:numPr>
        <w:pBdr>
          <w:top w:val="nil"/>
          <w:left w:val="nil"/>
          <w:bottom w:val="nil"/>
          <w:right w:val="nil"/>
          <w:between w:val="nil"/>
        </w:pBdr>
        <w:spacing w:line="240" w:lineRule="auto"/>
        <w:jc w:val="both"/>
        <w:rPr>
          <w:color w:val="000000"/>
          <w:sz w:val="22"/>
          <w:szCs w:val="22"/>
        </w:rPr>
      </w:pPr>
      <w:r>
        <w:rPr>
          <w:rFonts w:ascii="Arial" w:eastAsia="Arial" w:hAnsi="Arial" w:cs="Arial"/>
          <w:b/>
          <w:color w:val="000000"/>
          <w:sz w:val="22"/>
          <w:szCs w:val="22"/>
        </w:rPr>
        <w:t>Solicita el reingreso del bien</w:t>
      </w:r>
      <w:r>
        <w:rPr>
          <w:rFonts w:ascii="Arial" w:eastAsia="Arial" w:hAnsi="Arial" w:cs="Arial"/>
          <w:color w:val="000000"/>
          <w:sz w:val="22"/>
          <w:szCs w:val="22"/>
        </w:rPr>
        <w:t xml:space="preserve"> a la masa activa de la quiebra. </w:t>
      </w:r>
    </w:p>
    <w:p w:rsidR="00287724" w:rsidRDefault="00287724">
      <w:pPr>
        <w:pBdr>
          <w:top w:val="nil"/>
          <w:left w:val="nil"/>
          <w:bottom w:val="nil"/>
          <w:right w:val="nil"/>
          <w:between w:val="nil"/>
        </w:pBdr>
        <w:spacing w:line="240" w:lineRule="auto"/>
        <w:jc w:val="both"/>
        <w:rPr>
          <w:rFonts w:ascii="Arial" w:eastAsia="Arial" w:hAnsi="Arial" w:cs="Arial"/>
          <w:color w:val="000000"/>
          <w:sz w:val="22"/>
          <w:szCs w:val="22"/>
        </w:rPr>
      </w:pPr>
    </w:p>
    <w:p w:rsidR="00287724" w:rsidRDefault="00916EC4">
      <w:pPr>
        <w:numPr>
          <w:ilvl w:val="0"/>
          <w:numId w:val="8"/>
        </w:numPr>
        <w:pBdr>
          <w:top w:val="nil"/>
          <w:left w:val="nil"/>
          <w:bottom w:val="nil"/>
          <w:right w:val="nil"/>
          <w:between w:val="nil"/>
        </w:pBdr>
        <w:spacing w:line="240" w:lineRule="auto"/>
        <w:jc w:val="both"/>
        <w:rPr>
          <w:color w:val="000000"/>
          <w:sz w:val="22"/>
          <w:szCs w:val="22"/>
        </w:rPr>
      </w:pPr>
      <w:r>
        <w:rPr>
          <w:rFonts w:ascii="Arial" w:eastAsia="Arial" w:hAnsi="Arial" w:cs="Arial"/>
          <w:b/>
          <w:color w:val="000000"/>
          <w:sz w:val="22"/>
          <w:szCs w:val="22"/>
        </w:rPr>
        <w:t>Requiere se oficie al Registro Nacional de la Propiedad Automotor</w:t>
      </w:r>
      <w:r>
        <w:rPr>
          <w:rFonts w:ascii="Arial" w:eastAsia="Arial" w:hAnsi="Arial" w:cs="Arial"/>
          <w:color w:val="000000"/>
          <w:sz w:val="22"/>
          <w:szCs w:val="22"/>
        </w:rPr>
        <w:t>, correspondiente al domicilio del automotor, a efectos de anotar la inoponibilidad del acto de transferencia y disponer las medidas necesarias para la restitución del bien a esta sindicatura.</w:t>
      </w:r>
    </w:p>
    <w:p w:rsidR="00287724" w:rsidRDefault="00287724">
      <w:pPr>
        <w:spacing w:before="280" w:after="280" w:line="360" w:lineRule="auto"/>
        <w:jc w:val="both"/>
        <w:rPr>
          <w:rFonts w:ascii="Arial" w:eastAsia="Arial" w:hAnsi="Arial" w:cs="Arial"/>
          <w:sz w:val="22"/>
          <w:szCs w:val="22"/>
        </w:rPr>
      </w:pPr>
    </w:p>
    <w:p w:rsidR="00287724" w:rsidRDefault="00287724">
      <w:pPr>
        <w:tabs>
          <w:tab w:val="left" w:pos="3735"/>
        </w:tabs>
        <w:spacing w:line="360" w:lineRule="auto"/>
        <w:jc w:val="both"/>
        <w:rPr>
          <w:rFonts w:ascii="Arial" w:eastAsia="Arial" w:hAnsi="Arial" w:cs="Arial"/>
          <w:sz w:val="22"/>
          <w:szCs w:val="22"/>
        </w:rPr>
      </w:pPr>
    </w:p>
    <w:p w:rsidR="00287724" w:rsidRDefault="00287724">
      <w:pPr>
        <w:spacing w:line="360" w:lineRule="auto"/>
        <w:jc w:val="both"/>
        <w:rPr>
          <w:rFonts w:ascii="Arial" w:eastAsia="Arial" w:hAnsi="Arial" w:cs="Arial"/>
          <w:b/>
          <w:sz w:val="22"/>
          <w:szCs w:val="22"/>
        </w:rPr>
      </w:pPr>
    </w:p>
    <w:p w:rsidR="00287724" w:rsidRDefault="00287724">
      <w:pPr>
        <w:spacing w:line="360" w:lineRule="auto"/>
        <w:jc w:val="both"/>
        <w:rPr>
          <w:rFonts w:ascii="Arial" w:eastAsia="Arial" w:hAnsi="Arial" w:cs="Arial"/>
          <w:b/>
          <w:sz w:val="22"/>
          <w:szCs w:val="22"/>
        </w:rPr>
      </w:pPr>
    </w:p>
    <w:p w:rsidR="00287724" w:rsidRDefault="00916EC4">
      <w:pPr>
        <w:rPr>
          <w:rFonts w:ascii="Arial" w:eastAsia="Arial" w:hAnsi="Arial" w:cs="Arial"/>
          <w:b/>
          <w:sz w:val="22"/>
          <w:szCs w:val="22"/>
        </w:rPr>
      </w:pPr>
      <w:r>
        <w:br w:type="page"/>
      </w:r>
    </w:p>
    <w:p w:rsidR="00287724" w:rsidRDefault="00916EC4">
      <w:pPr>
        <w:spacing w:line="360" w:lineRule="auto"/>
        <w:jc w:val="both"/>
        <w:rPr>
          <w:rFonts w:ascii="Arial" w:eastAsia="Arial" w:hAnsi="Arial" w:cs="Arial"/>
          <w:b/>
          <w:sz w:val="22"/>
          <w:szCs w:val="22"/>
        </w:rPr>
      </w:pPr>
      <w:r>
        <w:rPr>
          <w:rFonts w:ascii="Arial" w:eastAsia="Arial" w:hAnsi="Arial" w:cs="Arial"/>
          <w:b/>
          <w:sz w:val="22"/>
          <w:szCs w:val="22"/>
        </w:rPr>
        <w:t xml:space="preserve">CONSIGNA 2 </w:t>
      </w:r>
    </w:p>
    <w:p w:rsidR="00287724" w:rsidRDefault="00916EC4">
      <w:pPr>
        <w:spacing w:after="0" w:line="360" w:lineRule="auto"/>
        <w:jc w:val="both"/>
        <w:rPr>
          <w:rFonts w:ascii="Arial" w:eastAsia="Arial" w:hAnsi="Arial" w:cs="Arial"/>
          <w:sz w:val="22"/>
          <w:szCs w:val="22"/>
        </w:rPr>
      </w:pPr>
      <w:r>
        <w:rPr>
          <w:rFonts w:ascii="Arial" w:eastAsia="Arial" w:hAnsi="Arial" w:cs="Arial"/>
          <w:sz w:val="22"/>
          <w:szCs w:val="22"/>
        </w:rPr>
        <w:t>De los informes solicitados surge que el fall</w:t>
      </w:r>
      <w:r>
        <w:rPr>
          <w:rFonts w:ascii="Arial" w:eastAsia="Arial" w:hAnsi="Arial" w:cs="Arial"/>
          <w:sz w:val="22"/>
          <w:szCs w:val="22"/>
        </w:rPr>
        <w:t>ido es titular de un lote de terreno sito en la Ciudad de Funes. Sin embargo, en oportunidad de la verificación de créditos, el Sr. Aníbal Escriturante, se presente a solicitar verificación de obligación de escriturar a su favor la transferencia de dicho l</w:t>
      </w:r>
      <w:r>
        <w:rPr>
          <w:rFonts w:ascii="Arial" w:eastAsia="Arial" w:hAnsi="Arial" w:cs="Arial"/>
          <w:sz w:val="22"/>
          <w:szCs w:val="22"/>
        </w:rPr>
        <w:t>ote de terreno, acompañando boleto de compraventa con firmas certificadas notarialmente, constancia de transferencia bancaria del 50% del precio –que fue de mercado-, e indicando que el saldo se pagará, conforme lo acordado entre las partes, contra la escr</w:t>
      </w:r>
      <w:r>
        <w:rPr>
          <w:rFonts w:ascii="Arial" w:eastAsia="Arial" w:hAnsi="Arial" w:cs="Arial"/>
          <w:sz w:val="22"/>
          <w:szCs w:val="22"/>
        </w:rPr>
        <w:t>ituración. Dicho pedido de verificación fue impugnado por otro acreedor, quien refiere que dicho inmueble se encuentra en posesión del fallido, y posiblemente se trate de una maniobra para sustraer ese activo de la quiebra. Realizada una constatación en el</w:t>
      </w:r>
      <w:r>
        <w:rPr>
          <w:rFonts w:ascii="Arial" w:eastAsia="Arial" w:hAnsi="Arial" w:cs="Arial"/>
          <w:sz w:val="22"/>
          <w:szCs w:val="22"/>
        </w:rPr>
        <w:t xml:space="preserve"> lugar, surge que en el lote existe un pequeño galpón donde se encuentra acopiado algo de materia prima con la que el fallido elaboraba los productos de goma que producía.</w:t>
      </w:r>
    </w:p>
    <w:p w:rsidR="00287724" w:rsidRDefault="00287724">
      <w:pPr>
        <w:spacing w:after="0" w:line="360" w:lineRule="auto"/>
        <w:jc w:val="both"/>
        <w:rPr>
          <w:rFonts w:ascii="Arial" w:eastAsia="Arial" w:hAnsi="Arial" w:cs="Arial"/>
          <w:sz w:val="22"/>
          <w:szCs w:val="22"/>
          <w:u w:val="single"/>
        </w:rPr>
      </w:pPr>
    </w:p>
    <w:p w:rsidR="00287724" w:rsidRDefault="00916EC4">
      <w:pPr>
        <w:spacing w:after="0" w:line="360" w:lineRule="auto"/>
        <w:jc w:val="both"/>
        <w:rPr>
          <w:rFonts w:ascii="Arial" w:eastAsia="Arial" w:hAnsi="Arial" w:cs="Arial"/>
          <w:sz w:val="22"/>
          <w:szCs w:val="22"/>
        </w:rPr>
      </w:pPr>
      <w:r>
        <w:rPr>
          <w:rFonts w:ascii="Arial" w:eastAsia="Arial" w:hAnsi="Arial" w:cs="Arial"/>
          <w:sz w:val="22"/>
          <w:szCs w:val="22"/>
          <w:u w:val="single"/>
        </w:rPr>
        <w:t>Consigna</w:t>
      </w:r>
      <w:r>
        <w:rPr>
          <w:rFonts w:ascii="Arial" w:eastAsia="Arial" w:hAnsi="Arial" w:cs="Arial"/>
          <w:sz w:val="22"/>
          <w:szCs w:val="22"/>
        </w:rPr>
        <w:t>: elabore el pertinente informe individual.</w:t>
      </w:r>
    </w:p>
    <w:p w:rsidR="00287724" w:rsidRDefault="00287724">
      <w:pPr>
        <w:spacing w:after="0" w:line="360" w:lineRule="auto"/>
        <w:jc w:val="both"/>
        <w:rPr>
          <w:rFonts w:ascii="Arial" w:eastAsia="Arial" w:hAnsi="Arial" w:cs="Arial"/>
          <w:sz w:val="22"/>
          <w:szCs w:val="22"/>
        </w:rPr>
      </w:pPr>
    </w:p>
    <w:p w:rsidR="00287724" w:rsidRDefault="00916EC4">
      <w:pPr>
        <w:spacing w:after="0" w:line="360" w:lineRule="auto"/>
        <w:jc w:val="both"/>
        <w:rPr>
          <w:rFonts w:ascii="Arial" w:eastAsia="Arial" w:hAnsi="Arial" w:cs="Arial"/>
          <w:b/>
          <w:sz w:val="22"/>
          <w:szCs w:val="22"/>
          <w:u w:val="single"/>
        </w:rPr>
      </w:pPr>
      <w:r>
        <w:rPr>
          <w:rFonts w:ascii="Arial" w:eastAsia="Arial" w:hAnsi="Arial" w:cs="Arial"/>
          <w:b/>
          <w:sz w:val="22"/>
          <w:szCs w:val="22"/>
          <w:u w:val="single"/>
        </w:rPr>
        <w:t xml:space="preserve">SINDICATURA PRESENTA INFORME INDIVIDUAL (Art. 35 L.C.Q.) </w:t>
      </w:r>
    </w:p>
    <w:p w:rsidR="00287724" w:rsidRDefault="00287724">
      <w:pPr>
        <w:spacing w:after="0" w:line="360" w:lineRule="auto"/>
        <w:jc w:val="both"/>
        <w:rPr>
          <w:rFonts w:ascii="Arial" w:eastAsia="Arial" w:hAnsi="Arial" w:cs="Arial"/>
          <w:sz w:val="22"/>
          <w:szCs w:val="22"/>
        </w:rPr>
      </w:pPr>
    </w:p>
    <w:p w:rsidR="00287724" w:rsidRDefault="00916EC4">
      <w:pPr>
        <w:spacing w:after="0" w:line="360" w:lineRule="auto"/>
        <w:jc w:val="both"/>
        <w:rPr>
          <w:rFonts w:ascii="Arial" w:eastAsia="Arial" w:hAnsi="Arial" w:cs="Arial"/>
          <w:b/>
          <w:sz w:val="22"/>
          <w:szCs w:val="22"/>
        </w:rPr>
      </w:pPr>
      <w:r>
        <w:rPr>
          <w:rFonts w:ascii="Arial" w:eastAsia="Arial" w:hAnsi="Arial" w:cs="Arial"/>
          <w:b/>
          <w:sz w:val="22"/>
          <w:szCs w:val="22"/>
        </w:rPr>
        <w:t xml:space="preserve">FALITARIO, JUAN CARLOS S/QUIEBRA PEDIDA POR EL ACREDOR </w:t>
      </w:r>
    </w:p>
    <w:p w:rsidR="00287724" w:rsidRDefault="00916EC4">
      <w:pPr>
        <w:spacing w:after="0" w:line="360" w:lineRule="auto"/>
        <w:jc w:val="both"/>
        <w:rPr>
          <w:rFonts w:ascii="Arial" w:eastAsia="Arial" w:hAnsi="Arial" w:cs="Arial"/>
          <w:b/>
          <w:sz w:val="22"/>
          <w:szCs w:val="22"/>
        </w:rPr>
      </w:pPr>
      <w:r>
        <w:rPr>
          <w:rFonts w:ascii="Arial" w:eastAsia="Arial" w:hAnsi="Arial" w:cs="Arial"/>
          <w:b/>
          <w:sz w:val="22"/>
          <w:szCs w:val="22"/>
        </w:rPr>
        <w:t xml:space="preserve">C.U.I.T. 20-358794533-8 </w:t>
      </w:r>
    </w:p>
    <w:p w:rsidR="00287724" w:rsidRDefault="00916EC4">
      <w:pPr>
        <w:spacing w:after="0" w:line="360" w:lineRule="auto"/>
        <w:jc w:val="both"/>
        <w:rPr>
          <w:rFonts w:ascii="Arial" w:eastAsia="Arial" w:hAnsi="Arial" w:cs="Arial"/>
          <w:sz w:val="22"/>
          <w:szCs w:val="22"/>
        </w:rPr>
      </w:pPr>
      <w:r>
        <w:rPr>
          <w:rFonts w:ascii="Arial" w:eastAsia="Arial" w:hAnsi="Arial" w:cs="Arial"/>
          <w:sz w:val="22"/>
          <w:szCs w:val="22"/>
        </w:rPr>
        <w:t xml:space="preserve">Informe Individual Nro. 1 </w:t>
      </w:r>
    </w:p>
    <w:p w:rsidR="00287724" w:rsidRDefault="00916EC4">
      <w:pPr>
        <w:spacing w:after="0" w:line="360" w:lineRule="auto"/>
        <w:jc w:val="both"/>
        <w:rPr>
          <w:rFonts w:ascii="Arial" w:eastAsia="Arial" w:hAnsi="Arial" w:cs="Arial"/>
          <w:sz w:val="22"/>
          <w:szCs w:val="22"/>
        </w:rPr>
      </w:pPr>
      <w:r>
        <w:rPr>
          <w:rFonts w:ascii="Arial" w:eastAsia="Arial" w:hAnsi="Arial" w:cs="Arial"/>
          <w:sz w:val="22"/>
          <w:szCs w:val="22"/>
        </w:rPr>
        <w:t xml:space="preserve">1) </w:t>
      </w:r>
      <w:r>
        <w:rPr>
          <w:rFonts w:ascii="Arial" w:eastAsia="Arial" w:hAnsi="Arial" w:cs="Arial"/>
          <w:b/>
          <w:sz w:val="22"/>
          <w:szCs w:val="22"/>
        </w:rPr>
        <w:t>ACREEDOR:</w:t>
      </w:r>
      <w:r>
        <w:rPr>
          <w:rFonts w:ascii="Arial" w:eastAsia="Arial" w:hAnsi="Arial" w:cs="Arial"/>
          <w:sz w:val="22"/>
          <w:szCs w:val="22"/>
        </w:rPr>
        <w:t xml:space="preserve"> Anibal Escriturante– D.N.I. 29.379.856 </w:t>
      </w:r>
    </w:p>
    <w:p w:rsidR="00287724" w:rsidRDefault="00287724">
      <w:pPr>
        <w:spacing w:after="0" w:line="360" w:lineRule="auto"/>
        <w:jc w:val="both"/>
        <w:rPr>
          <w:rFonts w:ascii="Arial" w:eastAsia="Arial" w:hAnsi="Arial" w:cs="Arial"/>
          <w:sz w:val="22"/>
          <w:szCs w:val="22"/>
        </w:rPr>
      </w:pPr>
    </w:p>
    <w:p w:rsidR="00287724" w:rsidRDefault="00916EC4">
      <w:pPr>
        <w:spacing w:after="0" w:line="360" w:lineRule="auto"/>
        <w:jc w:val="both"/>
        <w:rPr>
          <w:rFonts w:ascii="Arial" w:eastAsia="Arial" w:hAnsi="Arial" w:cs="Arial"/>
          <w:sz w:val="22"/>
          <w:szCs w:val="22"/>
        </w:rPr>
      </w:pPr>
      <w:r>
        <w:rPr>
          <w:rFonts w:ascii="Arial" w:eastAsia="Arial" w:hAnsi="Arial" w:cs="Arial"/>
          <w:sz w:val="22"/>
          <w:szCs w:val="22"/>
        </w:rPr>
        <w:t xml:space="preserve">2) </w:t>
      </w:r>
      <w:r>
        <w:rPr>
          <w:rFonts w:ascii="Arial" w:eastAsia="Arial" w:hAnsi="Arial" w:cs="Arial"/>
          <w:b/>
          <w:sz w:val="22"/>
          <w:szCs w:val="22"/>
        </w:rPr>
        <w:t>APODERADO</w:t>
      </w:r>
      <w:r>
        <w:rPr>
          <w:rFonts w:ascii="Arial" w:eastAsia="Arial" w:hAnsi="Arial" w:cs="Arial"/>
          <w:sz w:val="22"/>
          <w:szCs w:val="22"/>
        </w:rPr>
        <w:t>: Dra. Norma Ruiz Arond</w:t>
      </w:r>
      <w:r>
        <w:rPr>
          <w:rFonts w:ascii="Arial" w:eastAsia="Arial" w:hAnsi="Arial" w:cs="Arial"/>
          <w:sz w:val="22"/>
          <w:szCs w:val="22"/>
        </w:rPr>
        <w:t>o</w:t>
      </w:r>
    </w:p>
    <w:p w:rsidR="00287724" w:rsidRDefault="00287724">
      <w:pPr>
        <w:spacing w:after="0" w:line="360" w:lineRule="auto"/>
        <w:jc w:val="both"/>
        <w:rPr>
          <w:rFonts w:ascii="Arial" w:eastAsia="Arial" w:hAnsi="Arial" w:cs="Arial"/>
          <w:sz w:val="22"/>
          <w:szCs w:val="22"/>
        </w:rPr>
      </w:pPr>
    </w:p>
    <w:p w:rsidR="00287724" w:rsidRDefault="00916EC4">
      <w:pPr>
        <w:spacing w:after="0" w:line="360" w:lineRule="auto"/>
        <w:jc w:val="both"/>
        <w:rPr>
          <w:rFonts w:ascii="Arial" w:eastAsia="Arial" w:hAnsi="Arial" w:cs="Arial"/>
          <w:sz w:val="22"/>
          <w:szCs w:val="22"/>
        </w:rPr>
      </w:pPr>
      <w:r>
        <w:rPr>
          <w:rFonts w:ascii="Arial" w:eastAsia="Arial" w:hAnsi="Arial" w:cs="Arial"/>
          <w:sz w:val="22"/>
          <w:szCs w:val="22"/>
        </w:rPr>
        <w:t>3</w:t>
      </w:r>
      <w:r>
        <w:rPr>
          <w:rFonts w:ascii="Arial" w:eastAsia="Arial" w:hAnsi="Arial" w:cs="Arial"/>
          <w:b/>
          <w:sz w:val="22"/>
          <w:szCs w:val="22"/>
        </w:rPr>
        <w:t>) DOMICILIO REAL</w:t>
      </w:r>
      <w:r>
        <w:rPr>
          <w:rFonts w:ascii="Arial" w:eastAsia="Arial" w:hAnsi="Arial" w:cs="Arial"/>
          <w:sz w:val="22"/>
          <w:szCs w:val="22"/>
        </w:rPr>
        <w:t xml:space="preserve">: Acapulco 175 P.10 Dpto. A – Funes, Santa Fe. </w:t>
      </w:r>
    </w:p>
    <w:p w:rsidR="00287724" w:rsidRDefault="00287724">
      <w:pPr>
        <w:spacing w:after="0" w:line="360" w:lineRule="auto"/>
        <w:jc w:val="both"/>
        <w:rPr>
          <w:rFonts w:ascii="Arial" w:eastAsia="Arial" w:hAnsi="Arial" w:cs="Arial"/>
          <w:sz w:val="22"/>
          <w:szCs w:val="22"/>
        </w:rPr>
      </w:pPr>
    </w:p>
    <w:p w:rsidR="00287724" w:rsidRDefault="00916EC4">
      <w:pPr>
        <w:spacing w:after="0" w:line="360" w:lineRule="auto"/>
        <w:jc w:val="both"/>
        <w:rPr>
          <w:rFonts w:ascii="Arial" w:eastAsia="Arial" w:hAnsi="Arial" w:cs="Arial"/>
          <w:sz w:val="22"/>
          <w:szCs w:val="22"/>
        </w:rPr>
      </w:pPr>
      <w:r>
        <w:rPr>
          <w:rFonts w:ascii="Arial" w:eastAsia="Arial" w:hAnsi="Arial" w:cs="Arial"/>
          <w:sz w:val="22"/>
          <w:szCs w:val="22"/>
        </w:rPr>
        <w:t>4</w:t>
      </w:r>
      <w:r>
        <w:rPr>
          <w:rFonts w:ascii="Arial" w:eastAsia="Arial" w:hAnsi="Arial" w:cs="Arial"/>
          <w:b/>
          <w:sz w:val="22"/>
          <w:szCs w:val="22"/>
        </w:rPr>
        <w:t>) DOMICILIO CONSTITUIDO</w:t>
      </w:r>
      <w:r>
        <w:rPr>
          <w:rFonts w:ascii="Arial" w:eastAsia="Arial" w:hAnsi="Arial" w:cs="Arial"/>
          <w:sz w:val="22"/>
          <w:szCs w:val="22"/>
        </w:rPr>
        <w:t xml:space="preserve">: J. M. Pueyrredón 1175 P.11 Dpto. B– Rosario, Santa Fe. </w:t>
      </w:r>
    </w:p>
    <w:p w:rsidR="00287724" w:rsidRDefault="00287724">
      <w:pPr>
        <w:spacing w:after="0" w:line="360" w:lineRule="auto"/>
        <w:jc w:val="both"/>
        <w:rPr>
          <w:rFonts w:ascii="Arial" w:eastAsia="Arial" w:hAnsi="Arial" w:cs="Arial"/>
          <w:sz w:val="22"/>
          <w:szCs w:val="22"/>
        </w:rPr>
      </w:pPr>
    </w:p>
    <w:p w:rsidR="00287724" w:rsidRDefault="00916EC4">
      <w:pPr>
        <w:spacing w:after="0" w:line="360" w:lineRule="auto"/>
        <w:jc w:val="both"/>
        <w:rPr>
          <w:rFonts w:ascii="Arial" w:eastAsia="Arial" w:hAnsi="Arial" w:cs="Arial"/>
          <w:sz w:val="22"/>
          <w:szCs w:val="22"/>
        </w:rPr>
      </w:pPr>
      <w:r>
        <w:rPr>
          <w:rFonts w:ascii="Arial" w:eastAsia="Arial" w:hAnsi="Arial" w:cs="Arial"/>
          <w:b/>
          <w:sz w:val="22"/>
          <w:szCs w:val="22"/>
        </w:rPr>
        <w:t>5) MONTO Y CAUSA DEL CRÉDITO SOLICITADO</w:t>
      </w:r>
      <w:r>
        <w:rPr>
          <w:rFonts w:ascii="Arial" w:eastAsia="Arial" w:hAnsi="Arial" w:cs="Arial"/>
          <w:sz w:val="22"/>
          <w:szCs w:val="22"/>
        </w:rPr>
        <w:t xml:space="preserve">: Obligación de hacer: obligación de escrituración de un terreno </w:t>
      </w:r>
      <w:r>
        <w:rPr>
          <w:rFonts w:ascii="Arial" w:eastAsia="Arial" w:hAnsi="Arial" w:cs="Arial"/>
          <w:sz w:val="22"/>
          <w:szCs w:val="22"/>
        </w:rPr>
        <w:t>sito en la Ciudad de Funes. El crédito surge de una compraventa de un lote de terreno, el acreedor abonó parcialmente el 50% del precio por transferencia bancaria e indico que el saldo se pagará, conforme lo acordado entre las partes, contra la escrituraci</w:t>
      </w:r>
      <w:r>
        <w:rPr>
          <w:rFonts w:ascii="Arial" w:eastAsia="Arial" w:hAnsi="Arial" w:cs="Arial"/>
          <w:sz w:val="22"/>
          <w:szCs w:val="22"/>
        </w:rPr>
        <w:t xml:space="preserve">ón. </w:t>
      </w:r>
    </w:p>
    <w:p w:rsidR="00287724" w:rsidRDefault="00287724">
      <w:pPr>
        <w:spacing w:after="0" w:line="360" w:lineRule="auto"/>
        <w:jc w:val="both"/>
        <w:rPr>
          <w:rFonts w:ascii="Arial" w:eastAsia="Arial" w:hAnsi="Arial" w:cs="Arial"/>
          <w:sz w:val="22"/>
          <w:szCs w:val="22"/>
        </w:rPr>
      </w:pPr>
    </w:p>
    <w:p w:rsidR="00287724" w:rsidRDefault="00916EC4">
      <w:pPr>
        <w:spacing w:after="0" w:line="360" w:lineRule="auto"/>
        <w:jc w:val="both"/>
        <w:rPr>
          <w:rFonts w:ascii="Arial" w:eastAsia="Arial" w:hAnsi="Arial" w:cs="Arial"/>
          <w:sz w:val="22"/>
          <w:szCs w:val="22"/>
        </w:rPr>
      </w:pPr>
      <w:r>
        <w:rPr>
          <w:rFonts w:ascii="Arial" w:eastAsia="Arial" w:hAnsi="Arial" w:cs="Arial"/>
          <w:sz w:val="22"/>
          <w:szCs w:val="22"/>
        </w:rPr>
        <w:t>6</w:t>
      </w:r>
      <w:r>
        <w:rPr>
          <w:rFonts w:ascii="Arial" w:eastAsia="Arial" w:hAnsi="Arial" w:cs="Arial"/>
          <w:b/>
          <w:sz w:val="22"/>
          <w:szCs w:val="22"/>
        </w:rPr>
        <w:t>) PRIVILEGIO SOLICITADO:</w:t>
      </w:r>
      <w:r>
        <w:rPr>
          <w:rFonts w:ascii="Arial" w:eastAsia="Arial" w:hAnsi="Arial" w:cs="Arial"/>
          <w:sz w:val="22"/>
          <w:szCs w:val="22"/>
        </w:rPr>
        <w:t xml:space="preserve"> No invoca. </w:t>
      </w:r>
    </w:p>
    <w:p w:rsidR="00287724" w:rsidRDefault="00287724">
      <w:pPr>
        <w:spacing w:after="0" w:line="360" w:lineRule="auto"/>
        <w:jc w:val="both"/>
        <w:rPr>
          <w:rFonts w:ascii="Arial" w:eastAsia="Arial" w:hAnsi="Arial" w:cs="Arial"/>
          <w:sz w:val="22"/>
          <w:szCs w:val="22"/>
        </w:rPr>
      </w:pPr>
    </w:p>
    <w:p w:rsidR="00287724" w:rsidRDefault="00916EC4">
      <w:pPr>
        <w:spacing w:after="0" w:line="360" w:lineRule="auto"/>
        <w:jc w:val="both"/>
        <w:rPr>
          <w:rFonts w:ascii="Arial" w:eastAsia="Arial" w:hAnsi="Arial" w:cs="Arial"/>
          <w:sz w:val="22"/>
          <w:szCs w:val="22"/>
        </w:rPr>
      </w:pPr>
      <w:r>
        <w:rPr>
          <w:rFonts w:ascii="Arial" w:eastAsia="Arial" w:hAnsi="Arial" w:cs="Arial"/>
          <w:b/>
          <w:sz w:val="22"/>
          <w:szCs w:val="22"/>
        </w:rPr>
        <w:t>7) ARANCEL VERIFICATORIO</w:t>
      </w:r>
      <w:r>
        <w:rPr>
          <w:rFonts w:ascii="Arial" w:eastAsia="Arial" w:hAnsi="Arial" w:cs="Arial"/>
          <w:sz w:val="22"/>
          <w:szCs w:val="22"/>
        </w:rPr>
        <w:t>: $ 29.683,20</w:t>
      </w:r>
    </w:p>
    <w:p w:rsidR="00287724" w:rsidRDefault="00287724">
      <w:pPr>
        <w:spacing w:after="0" w:line="360" w:lineRule="auto"/>
        <w:jc w:val="both"/>
        <w:rPr>
          <w:rFonts w:ascii="Arial" w:eastAsia="Arial" w:hAnsi="Arial" w:cs="Arial"/>
          <w:sz w:val="22"/>
          <w:szCs w:val="22"/>
        </w:rPr>
      </w:pPr>
    </w:p>
    <w:p w:rsidR="00287724" w:rsidRDefault="00916EC4">
      <w:pPr>
        <w:spacing w:after="0" w:line="360" w:lineRule="auto"/>
        <w:jc w:val="both"/>
        <w:rPr>
          <w:rFonts w:ascii="Arial" w:eastAsia="Arial" w:hAnsi="Arial" w:cs="Arial"/>
          <w:sz w:val="22"/>
          <w:szCs w:val="22"/>
        </w:rPr>
      </w:pPr>
      <w:r>
        <w:rPr>
          <w:rFonts w:ascii="Arial" w:eastAsia="Arial" w:hAnsi="Arial" w:cs="Arial"/>
          <w:b/>
          <w:sz w:val="22"/>
          <w:szCs w:val="22"/>
        </w:rPr>
        <w:t xml:space="preserve">8) TITULOS JUSTIFICATIVOS ACOMPAÑADOS: </w:t>
      </w:r>
      <w:r>
        <w:rPr>
          <w:rFonts w:ascii="Arial" w:eastAsia="Arial" w:hAnsi="Arial" w:cs="Arial"/>
          <w:sz w:val="22"/>
          <w:szCs w:val="22"/>
        </w:rPr>
        <w:t>boleto de compraventa con firmas certificadas notarialmente, constancia de transferencia del 50% del precio, que fue de mercado.</w:t>
      </w:r>
    </w:p>
    <w:p w:rsidR="00287724" w:rsidRDefault="00287724">
      <w:pPr>
        <w:spacing w:after="0" w:line="360" w:lineRule="auto"/>
        <w:jc w:val="both"/>
        <w:rPr>
          <w:rFonts w:ascii="Arial" w:eastAsia="Arial" w:hAnsi="Arial" w:cs="Arial"/>
          <w:b/>
          <w:sz w:val="22"/>
          <w:szCs w:val="22"/>
        </w:rPr>
      </w:pPr>
    </w:p>
    <w:p w:rsidR="00287724" w:rsidRDefault="00916EC4">
      <w:pPr>
        <w:spacing w:after="0" w:line="360" w:lineRule="auto"/>
        <w:jc w:val="both"/>
        <w:rPr>
          <w:rFonts w:ascii="Arial" w:eastAsia="Arial" w:hAnsi="Arial" w:cs="Arial"/>
          <w:sz w:val="22"/>
          <w:szCs w:val="22"/>
        </w:rPr>
      </w:pPr>
      <w:r>
        <w:rPr>
          <w:rFonts w:ascii="Arial" w:eastAsia="Arial" w:hAnsi="Arial" w:cs="Arial"/>
          <w:b/>
          <w:sz w:val="22"/>
          <w:szCs w:val="22"/>
        </w:rPr>
        <w:t xml:space="preserve">9) </w:t>
      </w:r>
      <w:r>
        <w:rPr>
          <w:rFonts w:ascii="Arial" w:eastAsia="Arial" w:hAnsi="Arial" w:cs="Arial"/>
          <w:b/>
          <w:sz w:val="22"/>
          <w:szCs w:val="22"/>
        </w:rPr>
        <w:t>OBSERVACIONES E IMPUGNACIONES ART. 34 L.C.Q.:</w:t>
      </w:r>
      <w:r>
        <w:rPr>
          <w:rFonts w:ascii="Arial" w:eastAsia="Arial" w:hAnsi="Arial" w:cs="Arial"/>
          <w:sz w:val="22"/>
          <w:szCs w:val="22"/>
        </w:rPr>
        <w:t xml:space="preserve"> Existe observación por parte de otro acreedor respecto al pago y a la operatoria, que manifiesta que ese inmueble se encuentra en posesión del fallido, y posiblemente se trate de una maniobra para sustraer ese </w:t>
      </w:r>
      <w:r>
        <w:rPr>
          <w:rFonts w:ascii="Arial" w:eastAsia="Arial" w:hAnsi="Arial" w:cs="Arial"/>
          <w:sz w:val="22"/>
          <w:szCs w:val="22"/>
        </w:rPr>
        <w:t xml:space="preserve">activo de la quiebra. </w:t>
      </w:r>
    </w:p>
    <w:p w:rsidR="00287724" w:rsidRDefault="00287724">
      <w:pPr>
        <w:spacing w:after="0" w:line="360" w:lineRule="auto"/>
        <w:jc w:val="both"/>
        <w:rPr>
          <w:rFonts w:ascii="Arial" w:eastAsia="Arial" w:hAnsi="Arial" w:cs="Arial"/>
          <w:sz w:val="22"/>
          <w:szCs w:val="22"/>
        </w:rPr>
      </w:pPr>
    </w:p>
    <w:p w:rsidR="00287724" w:rsidRDefault="00916EC4">
      <w:pPr>
        <w:spacing w:after="0" w:line="360" w:lineRule="auto"/>
        <w:jc w:val="both"/>
        <w:rPr>
          <w:rFonts w:ascii="Arial" w:eastAsia="Arial" w:hAnsi="Arial" w:cs="Arial"/>
          <w:sz w:val="22"/>
          <w:szCs w:val="22"/>
        </w:rPr>
      </w:pPr>
      <w:r>
        <w:rPr>
          <w:rFonts w:ascii="Arial" w:eastAsia="Arial" w:hAnsi="Arial" w:cs="Arial"/>
          <w:b/>
          <w:sz w:val="22"/>
          <w:szCs w:val="22"/>
        </w:rPr>
        <w:t>10) INFORMACION OBTENIDA:</w:t>
      </w:r>
      <w:r>
        <w:rPr>
          <w:rFonts w:ascii="Arial" w:eastAsia="Arial" w:hAnsi="Arial" w:cs="Arial"/>
          <w:sz w:val="22"/>
          <w:szCs w:val="22"/>
        </w:rPr>
        <w:t xml:space="preserve"> Solicitud de verificación; boleta de compraventa y constancia de transferencia bancaria del pago del 50% del precio del inmueble. Constatación en el lugar, surge que en el lote existe un pequeño galpón donde se encuentra acopiado algo de materia prima con</w:t>
      </w:r>
      <w:r>
        <w:rPr>
          <w:rFonts w:ascii="Arial" w:eastAsia="Arial" w:hAnsi="Arial" w:cs="Arial"/>
          <w:sz w:val="22"/>
          <w:szCs w:val="22"/>
        </w:rPr>
        <w:t xml:space="preserve"> la que el fallido elaboraba los productos de goma que producía.</w:t>
      </w:r>
    </w:p>
    <w:p w:rsidR="00287724" w:rsidRDefault="00287724">
      <w:pPr>
        <w:spacing w:after="0" w:line="360" w:lineRule="auto"/>
        <w:jc w:val="both"/>
        <w:rPr>
          <w:rFonts w:ascii="Arial" w:eastAsia="Arial" w:hAnsi="Arial" w:cs="Arial"/>
          <w:sz w:val="22"/>
          <w:szCs w:val="22"/>
        </w:rPr>
      </w:pPr>
    </w:p>
    <w:p w:rsidR="00287724" w:rsidRDefault="00916EC4">
      <w:pPr>
        <w:spacing w:after="0" w:line="360" w:lineRule="auto"/>
        <w:jc w:val="both"/>
        <w:rPr>
          <w:rFonts w:ascii="Arial" w:eastAsia="Arial" w:hAnsi="Arial" w:cs="Arial"/>
          <w:sz w:val="22"/>
          <w:szCs w:val="22"/>
        </w:rPr>
      </w:pPr>
      <w:r>
        <w:rPr>
          <w:rFonts w:ascii="Arial" w:eastAsia="Arial" w:hAnsi="Arial" w:cs="Arial"/>
          <w:b/>
          <w:sz w:val="22"/>
          <w:szCs w:val="22"/>
        </w:rPr>
        <w:t>11) OPINIÓN FUNDADA DE LA SINDICATURA</w:t>
      </w:r>
      <w:r>
        <w:rPr>
          <w:rFonts w:ascii="Arial" w:eastAsia="Arial" w:hAnsi="Arial" w:cs="Arial"/>
          <w:sz w:val="22"/>
          <w:szCs w:val="22"/>
        </w:rPr>
        <w:t xml:space="preserve">: </w:t>
      </w:r>
    </w:p>
    <w:p w:rsidR="00287724" w:rsidRDefault="00916EC4">
      <w:pPr>
        <w:spacing w:before="280" w:after="280" w:line="360" w:lineRule="auto"/>
        <w:jc w:val="both"/>
        <w:rPr>
          <w:rFonts w:ascii="Arial" w:eastAsia="Arial" w:hAnsi="Arial" w:cs="Arial"/>
          <w:sz w:val="22"/>
          <w:szCs w:val="22"/>
        </w:rPr>
      </w:pPr>
      <w:r>
        <w:rPr>
          <w:rFonts w:ascii="Arial" w:eastAsia="Arial" w:hAnsi="Arial" w:cs="Arial"/>
          <w:sz w:val="22"/>
          <w:szCs w:val="22"/>
        </w:rPr>
        <w:t xml:space="preserve">En relación con la solicitud de verificación de crédito presentada por el Sr. Aníbal Escriturante, atento la documentación acompañada (boleto de compraventa con firmas certificadas, transferencia bancaria del 50% del precio de mercado y compromiso de pago </w:t>
      </w:r>
      <w:r>
        <w:rPr>
          <w:rFonts w:ascii="Arial" w:eastAsia="Arial" w:hAnsi="Arial" w:cs="Arial"/>
          <w:sz w:val="22"/>
          <w:szCs w:val="22"/>
        </w:rPr>
        <w:t>del saldo contra escritura), debe señalarse que:</w:t>
      </w:r>
    </w:p>
    <w:p w:rsidR="00287724" w:rsidRDefault="00916EC4">
      <w:pPr>
        <w:spacing w:before="280" w:after="280" w:line="360" w:lineRule="auto"/>
        <w:jc w:val="both"/>
        <w:rPr>
          <w:rFonts w:ascii="Arial" w:eastAsia="Arial" w:hAnsi="Arial" w:cs="Arial"/>
          <w:sz w:val="22"/>
          <w:szCs w:val="22"/>
        </w:rPr>
      </w:pPr>
      <w:r>
        <w:rPr>
          <w:rFonts w:ascii="Arial" w:eastAsia="Arial" w:hAnsi="Arial" w:cs="Arial"/>
          <w:sz w:val="22"/>
          <w:szCs w:val="22"/>
        </w:rPr>
        <w:t xml:space="preserve">Conforme art. 146 (Segundo Párrafo) LCQ, donde dice que </w:t>
      </w:r>
      <w:r>
        <w:rPr>
          <w:rFonts w:ascii="Arial" w:eastAsia="Arial" w:hAnsi="Arial" w:cs="Arial"/>
          <w:i/>
          <w:sz w:val="22"/>
          <w:szCs w:val="22"/>
        </w:rPr>
        <w:t>“Los boletos de compraventa de inmuebles otorgados a favor de adquirientes de buena fe, serán oponibles al concurso o quiebra si el comprador hubiera a</w:t>
      </w:r>
      <w:r>
        <w:rPr>
          <w:rFonts w:ascii="Arial" w:eastAsia="Arial" w:hAnsi="Arial" w:cs="Arial"/>
          <w:i/>
          <w:sz w:val="22"/>
          <w:szCs w:val="22"/>
        </w:rPr>
        <w:t>bonado el VEINTICINCO POR CIENTO (25%) del precio. El juez deberá disponer en estos casos, cualquiera sea el destino del inmueble, que se otorgue al comprador la escritura traslativa de dominio contra el cumplimiento de la prestación correspondiente al adq</w:t>
      </w:r>
      <w:r>
        <w:rPr>
          <w:rFonts w:ascii="Arial" w:eastAsia="Arial" w:hAnsi="Arial" w:cs="Arial"/>
          <w:i/>
          <w:sz w:val="22"/>
          <w:szCs w:val="22"/>
        </w:rPr>
        <w:t xml:space="preserve">uiriente. El comprador podrá cumplir sus obligaciones en el plazo convenido. En caso de que la prestación a cargo del comprador fuere a plazo deberá constituirse hipoteca en primer grado sobre el bien, en garantía del saldo del precio”. Se puede decir que </w:t>
      </w:r>
      <w:r>
        <w:rPr>
          <w:rFonts w:ascii="Arial" w:eastAsia="Arial" w:hAnsi="Arial" w:cs="Arial"/>
          <w:i/>
          <w:sz w:val="22"/>
          <w:szCs w:val="22"/>
        </w:rPr>
        <w:t>para la cuestión planteada el comprador abono más del 25% del precio del bien objeto de la transacción, existe fecha cierta al estar certificado el boleto de compraventa. Pero se pone en duda la buena fe de la operatoria al no tener la posesión del bien en</w:t>
      </w:r>
      <w:r>
        <w:rPr>
          <w:rFonts w:ascii="Arial" w:eastAsia="Arial" w:hAnsi="Arial" w:cs="Arial"/>
          <w:i/>
          <w:sz w:val="22"/>
          <w:szCs w:val="22"/>
        </w:rPr>
        <w:t xml:space="preserve"> cuestión, y al haber constatado que sigue en poder del fallido. </w:t>
      </w:r>
    </w:p>
    <w:p w:rsidR="00287724" w:rsidRDefault="00916EC4">
      <w:pPr>
        <w:spacing w:before="280" w:after="280" w:line="360" w:lineRule="auto"/>
        <w:jc w:val="both"/>
        <w:rPr>
          <w:rFonts w:ascii="Arial" w:eastAsia="Arial" w:hAnsi="Arial" w:cs="Arial"/>
          <w:i/>
          <w:sz w:val="22"/>
          <w:szCs w:val="22"/>
        </w:rPr>
      </w:pPr>
      <w:r>
        <w:rPr>
          <w:rFonts w:ascii="Arial" w:eastAsia="Arial" w:hAnsi="Arial" w:cs="Arial"/>
          <w:i/>
          <w:sz w:val="22"/>
          <w:szCs w:val="22"/>
        </w:rPr>
        <w:t>A</w:t>
      </w:r>
      <w:r>
        <w:rPr>
          <w:rFonts w:ascii="Arial" w:eastAsia="Arial" w:hAnsi="Arial" w:cs="Arial"/>
          <w:sz w:val="22"/>
          <w:szCs w:val="22"/>
        </w:rPr>
        <w:t>simismo, según lo establecido en el artículo 1.171 del Código Civil y Comercial de la Nación (CCYCN) el cual complementa lo plasmado en el art. anterior, diciendo que la “</w:t>
      </w:r>
      <w:r>
        <w:t>O</w:t>
      </w:r>
      <w:r>
        <w:rPr>
          <w:i/>
        </w:rPr>
        <w:t>ponibilidad del b</w:t>
      </w:r>
      <w:r>
        <w:rPr>
          <w:i/>
        </w:rPr>
        <w:t>oleto en el concurso o quiebra. Los boletos de compraventa de inmuebles de fecha cierta otorgados a favor de adquirentes de buena fe son oponibles al concurso o quiebra del vendedor si se hubiera abonado como mínimo el veinticinco por ciento del precio. El</w:t>
      </w:r>
      <w:r>
        <w:rPr>
          <w:i/>
        </w:rPr>
        <w:t xml:space="preserve"> juez debe disponer que se otorgue la respectiva escritura pública. El comprador puede cumplir sus obligaciones en el plazo convenido. En caso de que la prestación a cargo del comprador sea a plazo, debe constituirse hipoteca en primer grado sobre el bien,</w:t>
      </w:r>
      <w:r>
        <w:rPr>
          <w:i/>
        </w:rPr>
        <w:t xml:space="preserve"> en garantía del saldo de precio</w:t>
      </w:r>
      <w:r>
        <w:rPr>
          <w:rFonts w:ascii="Arial" w:eastAsia="Arial" w:hAnsi="Arial" w:cs="Arial"/>
          <w:i/>
          <w:sz w:val="22"/>
          <w:szCs w:val="22"/>
        </w:rPr>
        <w:t>“, y lo normado en el art. 1.170 CCyCN, donde se denota que el “Boleto de compraventa de inmuebles. El derecho del comprador de buena fe tiene prioridad sobre el de terceros que hayan trabado cautelares sobre el inmueble ven</w:t>
      </w:r>
      <w:r>
        <w:rPr>
          <w:rFonts w:ascii="Arial" w:eastAsia="Arial" w:hAnsi="Arial" w:cs="Arial"/>
          <w:i/>
          <w:sz w:val="22"/>
          <w:szCs w:val="22"/>
        </w:rPr>
        <w:t>dido si:</w:t>
      </w:r>
    </w:p>
    <w:p w:rsidR="00287724" w:rsidRDefault="00916EC4">
      <w:pPr>
        <w:spacing w:before="280" w:after="280" w:line="360" w:lineRule="auto"/>
        <w:jc w:val="both"/>
        <w:rPr>
          <w:rFonts w:ascii="Arial" w:eastAsia="Arial" w:hAnsi="Arial" w:cs="Arial"/>
          <w:i/>
          <w:sz w:val="22"/>
          <w:szCs w:val="22"/>
        </w:rPr>
      </w:pPr>
      <w:r>
        <w:rPr>
          <w:rFonts w:ascii="Arial" w:eastAsia="Arial" w:hAnsi="Arial" w:cs="Arial"/>
          <w:i/>
          <w:sz w:val="22"/>
          <w:szCs w:val="22"/>
        </w:rPr>
        <w:t>a) el comprador contrató con el titular registral, o puede subrogarse en la posición jurídica de quien lo hizo mediante un perfecto eslabonamiento con los adquirentes sucesivos;</w:t>
      </w:r>
    </w:p>
    <w:p w:rsidR="00287724" w:rsidRDefault="00916EC4">
      <w:pPr>
        <w:spacing w:before="280" w:after="280" w:line="360" w:lineRule="auto"/>
        <w:jc w:val="both"/>
        <w:rPr>
          <w:rFonts w:ascii="Arial" w:eastAsia="Arial" w:hAnsi="Arial" w:cs="Arial"/>
          <w:i/>
          <w:sz w:val="22"/>
          <w:szCs w:val="22"/>
        </w:rPr>
      </w:pPr>
      <w:r>
        <w:rPr>
          <w:rFonts w:ascii="Arial" w:eastAsia="Arial" w:hAnsi="Arial" w:cs="Arial"/>
          <w:i/>
          <w:sz w:val="22"/>
          <w:szCs w:val="22"/>
        </w:rPr>
        <w:t>b) el comprador pagó como mínimo el veinticinco por ciento del precio</w:t>
      </w:r>
      <w:r>
        <w:rPr>
          <w:rFonts w:ascii="Arial" w:eastAsia="Arial" w:hAnsi="Arial" w:cs="Arial"/>
          <w:i/>
          <w:sz w:val="22"/>
          <w:szCs w:val="22"/>
        </w:rPr>
        <w:t xml:space="preserve"> con anterioridad a la traba de la cautelar;</w:t>
      </w:r>
    </w:p>
    <w:p w:rsidR="00287724" w:rsidRDefault="00916EC4">
      <w:pPr>
        <w:spacing w:before="280" w:after="280" w:line="360" w:lineRule="auto"/>
        <w:jc w:val="both"/>
        <w:rPr>
          <w:rFonts w:ascii="Arial" w:eastAsia="Arial" w:hAnsi="Arial" w:cs="Arial"/>
          <w:i/>
          <w:sz w:val="22"/>
          <w:szCs w:val="22"/>
        </w:rPr>
      </w:pPr>
      <w:r>
        <w:rPr>
          <w:rFonts w:ascii="Arial" w:eastAsia="Arial" w:hAnsi="Arial" w:cs="Arial"/>
          <w:i/>
          <w:sz w:val="22"/>
          <w:szCs w:val="22"/>
        </w:rPr>
        <w:t>c) el boleto tiene fecha cierta;</w:t>
      </w:r>
    </w:p>
    <w:p w:rsidR="00287724" w:rsidRDefault="00916EC4">
      <w:pPr>
        <w:spacing w:before="280" w:after="280" w:line="360" w:lineRule="auto"/>
        <w:jc w:val="both"/>
        <w:rPr>
          <w:rFonts w:ascii="Arial" w:eastAsia="Arial" w:hAnsi="Arial" w:cs="Arial"/>
          <w:i/>
          <w:sz w:val="22"/>
          <w:szCs w:val="22"/>
        </w:rPr>
      </w:pPr>
      <w:r>
        <w:rPr>
          <w:rFonts w:ascii="Arial" w:eastAsia="Arial" w:hAnsi="Arial" w:cs="Arial"/>
          <w:i/>
          <w:sz w:val="22"/>
          <w:szCs w:val="22"/>
        </w:rPr>
        <w:t>d) la adquisición tiene publicidad suficiente, sea registral, sea posesoria”.</w:t>
      </w:r>
    </w:p>
    <w:p w:rsidR="00287724" w:rsidRDefault="00916EC4">
      <w:pPr>
        <w:spacing w:before="280" w:after="280" w:line="360" w:lineRule="auto"/>
        <w:jc w:val="both"/>
        <w:rPr>
          <w:rFonts w:ascii="Arial" w:eastAsia="Arial" w:hAnsi="Arial" w:cs="Arial"/>
          <w:sz w:val="22"/>
          <w:szCs w:val="22"/>
        </w:rPr>
      </w:pPr>
      <w:r>
        <w:rPr>
          <w:rFonts w:ascii="Arial" w:eastAsia="Arial" w:hAnsi="Arial" w:cs="Arial"/>
          <w:sz w:val="22"/>
          <w:szCs w:val="22"/>
        </w:rPr>
        <w:t xml:space="preserve">Además, de acuerdo con la jurisprudencia, teniendo en cuenta lo expuesto por el Dr. Achares, Diorio </w:t>
      </w:r>
      <w:r>
        <w:rPr>
          <w:rFonts w:ascii="Arial" w:eastAsia="Arial" w:hAnsi="Arial" w:cs="Arial"/>
          <w:sz w:val="22"/>
          <w:szCs w:val="22"/>
        </w:rPr>
        <w:t>Federico</w:t>
      </w:r>
      <w:r>
        <w:rPr>
          <w:rFonts w:ascii="Arial" w:eastAsia="Arial" w:hAnsi="Arial" w:cs="Arial"/>
          <w:sz w:val="22"/>
          <w:szCs w:val="22"/>
          <w:vertAlign w:val="superscript"/>
        </w:rPr>
        <w:footnoteReference w:id="6"/>
      </w:r>
      <w:r>
        <w:rPr>
          <w:rFonts w:ascii="Arial" w:eastAsia="Arial" w:hAnsi="Arial" w:cs="Arial"/>
          <w:sz w:val="22"/>
          <w:szCs w:val="22"/>
        </w:rPr>
        <w:t>, el cual sostiene en el voto de Kemelmajer de Carlucci en el caso “Fernández, Ángel c/ Coviram, Ltda.”, establece que la oponibilidad de los derechos exige algún grado de publicidad, ya sea registral o posesoria. La falta de posesión del bien por</w:t>
      </w:r>
      <w:r>
        <w:rPr>
          <w:rFonts w:ascii="Arial" w:eastAsia="Arial" w:hAnsi="Arial" w:cs="Arial"/>
          <w:sz w:val="22"/>
          <w:szCs w:val="22"/>
        </w:rPr>
        <w:t xml:space="preserve"> parte del comprador genera dudas sobre la buena fe de la operación, lo que podría interpretarse como un intento de fraude, por cuanto: </w:t>
      </w:r>
    </w:p>
    <w:p w:rsidR="00287724" w:rsidRDefault="00916EC4">
      <w:pPr>
        <w:spacing w:before="280" w:after="280" w:line="360" w:lineRule="auto"/>
        <w:jc w:val="both"/>
        <w:rPr>
          <w:rFonts w:ascii="Arial" w:eastAsia="Arial" w:hAnsi="Arial" w:cs="Arial"/>
          <w:i/>
          <w:sz w:val="22"/>
          <w:szCs w:val="22"/>
        </w:rPr>
      </w:pPr>
      <w:r>
        <w:rPr>
          <w:rFonts w:ascii="Arial" w:eastAsia="Arial" w:hAnsi="Arial" w:cs="Arial"/>
          <w:sz w:val="22"/>
          <w:szCs w:val="22"/>
        </w:rPr>
        <w:t>“</w:t>
      </w:r>
      <w:r>
        <w:rPr>
          <w:rFonts w:ascii="Arial" w:eastAsia="Arial" w:hAnsi="Arial" w:cs="Arial"/>
          <w:i/>
          <w:sz w:val="22"/>
          <w:szCs w:val="22"/>
        </w:rPr>
        <w:t>a) El artículo 146 de la LC, al igual que el antiguo 150 del mismo ordenamiento genera … una prioridad excluyente y, p</w:t>
      </w:r>
      <w:r>
        <w:rPr>
          <w:rFonts w:ascii="Arial" w:eastAsia="Arial" w:hAnsi="Arial" w:cs="Arial"/>
          <w:i/>
          <w:sz w:val="22"/>
          <w:szCs w:val="22"/>
        </w:rPr>
        <w:t xml:space="preserve">or lo tanto, la interpretación a favor del comprador debe ser restrictiva …b) El artículo 146 de la ley concursal forma parte de un sistema normativo y, por lo tanto, no puede ser interpretado aisladamente. En ese sistema normativo, la oponibilidad de los </w:t>
      </w:r>
      <w:r>
        <w:rPr>
          <w:rFonts w:ascii="Arial" w:eastAsia="Arial" w:hAnsi="Arial" w:cs="Arial"/>
          <w:i/>
          <w:sz w:val="22"/>
          <w:szCs w:val="22"/>
        </w:rPr>
        <w:t>derechos (sean personales o reales), exige siempre algún grado de publicidad (por imperfecta que sea); de otro modo, la oponibilidad exige publicidad, más o menos perfecta según los casos, pero siempre requiere de algún sistema por el cual ese derecho teng</w:t>
      </w:r>
      <w:r>
        <w:rPr>
          <w:rFonts w:ascii="Arial" w:eastAsia="Arial" w:hAnsi="Arial" w:cs="Arial"/>
          <w:i/>
          <w:sz w:val="22"/>
          <w:szCs w:val="22"/>
        </w:rPr>
        <w:t xml:space="preserve">a aptitud para ser conocido desde que no se puede exigir el respeto de algo que no se tiene posibilidad de conocer; de otro modo, la oponibilidad resultaría una trampa contra la que no hay defensas. c) Es cierto que, en nuestro derecho, la oponibilidad de </w:t>
      </w:r>
      <w:r>
        <w:rPr>
          <w:rFonts w:ascii="Arial" w:eastAsia="Arial" w:hAnsi="Arial" w:cs="Arial"/>
          <w:i/>
          <w:sz w:val="22"/>
          <w:szCs w:val="22"/>
        </w:rPr>
        <w:t>los créditos privilegiados no exige registración; sin embargo, casi todos ellos ostentan algún grado de apariencia, algún modo de hacerlos tácticamente visibles … d) La oponibilidad amplía del boleto de compraventa, sin exigir ningún tipo de publicidad (ni</w:t>
      </w:r>
      <w:r>
        <w:rPr>
          <w:rFonts w:ascii="Arial" w:eastAsia="Arial" w:hAnsi="Arial" w:cs="Arial"/>
          <w:i/>
          <w:sz w:val="22"/>
          <w:szCs w:val="22"/>
        </w:rPr>
        <w:t xml:space="preserve"> posesoria, ni registral) configuraría una ruptura absurda, ilógica, irracional del sistema porque: Lejos de favorecer la justicia distributiva (propia de los conflictos entre acreedores), beneficia el fraude y la colusión. Cuando la jurisprudencia anterio</w:t>
      </w:r>
      <w:r>
        <w:rPr>
          <w:rFonts w:ascii="Arial" w:eastAsia="Arial" w:hAnsi="Arial" w:cs="Arial"/>
          <w:i/>
          <w:sz w:val="22"/>
          <w:szCs w:val="22"/>
        </w:rPr>
        <w:t>r a la sanción de la ley 24.522 extendió los alcances del artículo 150 a todo tipo de boleto, lo hizo en los casos en que el adquirente tenía posesión; ello tiene sentido lógico, pues al momento de la aclaración de la quiebra o de la traba del embargo el o</w:t>
      </w:r>
      <w:r>
        <w:rPr>
          <w:rFonts w:ascii="Arial" w:eastAsia="Arial" w:hAnsi="Arial" w:cs="Arial"/>
          <w:i/>
          <w:sz w:val="22"/>
          <w:szCs w:val="22"/>
        </w:rPr>
        <w:t xml:space="preserve"> los acreedores han encontrado, en el patrimonio del deudor, un derecho que podría denominarse incompleto, dado que habiendo adquirido legítimamente la posesión, el tercero detentador ejerce, como si fuese un propietario, las facultades de usar y gozar. El</w:t>
      </w:r>
      <w:r>
        <w:rPr>
          <w:rFonts w:ascii="Arial" w:eastAsia="Arial" w:hAnsi="Arial" w:cs="Arial"/>
          <w:i/>
          <w:sz w:val="22"/>
          <w:szCs w:val="22"/>
        </w:rPr>
        <w:t xml:space="preserve"> adquirente por boleto sin posesión ni acceso registral solo titulariza una mera obligación de hacer; ¿cuál es el sentido lógico por el cual la ley le otorgaría el derecho a separar de modo excluyente un bien del patrimonio del deudor común (quizás el más </w:t>
      </w:r>
      <w:r>
        <w:rPr>
          <w:rFonts w:ascii="Arial" w:eastAsia="Arial" w:hAnsi="Arial" w:cs="Arial"/>
          <w:i/>
          <w:sz w:val="22"/>
          <w:szCs w:val="22"/>
        </w:rPr>
        <w:t>valioso)? Semejante resultado se justificaba cuando la oponibilidad del boleto estaba restringida al inmueble destinado a vivienda, por la especial protección constitucional del acceso a una vivienda digna, pero no cuando la prioridad excluyente se consagr</w:t>
      </w:r>
      <w:r>
        <w:rPr>
          <w:rFonts w:ascii="Arial" w:eastAsia="Arial" w:hAnsi="Arial" w:cs="Arial"/>
          <w:i/>
          <w:sz w:val="22"/>
          <w:szCs w:val="22"/>
        </w:rPr>
        <w:t>a sin ningún tipo de distinciones. Compárese la diferencia que existiría entre el vendedor a quien no se le pagó el precio, que hizo ingresar en el patrimonio una cosa que servirá de garantía a todos los acreedores y este comprador. El primero cobra a pror</w:t>
      </w:r>
      <w:r>
        <w:rPr>
          <w:rFonts w:ascii="Arial" w:eastAsia="Arial" w:hAnsi="Arial" w:cs="Arial"/>
          <w:i/>
          <w:sz w:val="22"/>
          <w:szCs w:val="22"/>
        </w:rPr>
        <w:t>rata, el segundo, separa el bien en su exclusivo beneficio. ¿Puede pensarse en un resultado más contrario a la equidad? e) Una interpretación amplísima de la ley, que no requiriese la publicidad del boleto (sea posesoria, sea registral) violentaría, entonc</w:t>
      </w:r>
      <w:r>
        <w:rPr>
          <w:rFonts w:ascii="Arial" w:eastAsia="Arial" w:hAnsi="Arial" w:cs="Arial"/>
          <w:i/>
          <w:sz w:val="22"/>
          <w:szCs w:val="22"/>
        </w:rPr>
        <w:t>es, la jurisprudencia de la Corte Federal, que desde antiguo enseña a los tribunales inferiores que ‘si bien es cierto que la primera regla de interpretación de las leyes es dar pleno efecto a la intención del legislador también lo es que uno de los índice</w:t>
      </w:r>
      <w:r>
        <w:rPr>
          <w:rFonts w:ascii="Arial" w:eastAsia="Arial" w:hAnsi="Arial" w:cs="Arial"/>
          <w:i/>
          <w:sz w:val="22"/>
          <w:szCs w:val="22"/>
        </w:rPr>
        <w:t>s más seguros para verificar la racionabilidad de la inteligencia de una norma y su congruencia con el resto del sistema al que está engarzada, es la consideración de sus consecuencias’ (Fallos: 234-482; 295-1001) 303-917: 302-1293, etc.); que cuando la in</w:t>
      </w:r>
      <w:r>
        <w:rPr>
          <w:rFonts w:ascii="Arial" w:eastAsia="Arial" w:hAnsi="Arial" w:cs="Arial"/>
          <w:i/>
          <w:sz w:val="22"/>
          <w:szCs w:val="22"/>
        </w:rPr>
        <w:t>teligencia de una norma basada exclusivamente en la literalidad de sus términos conduzca a resultados que sean adversos a sus fines, al conjunto armónico del ordenamiento jurídico y a los principios fundamentales del derecho o provoque consecuencias notori</w:t>
      </w:r>
      <w:r>
        <w:rPr>
          <w:rFonts w:ascii="Arial" w:eastAsia="Arial" w:hAnsi="Arial" w:cs="Arial"/>
          <w:i/>
          <w:sz w:val="22"/>
          <w:szCs w:val="22"/>
        </w:rPr>
        <w:t xml:space="preserve">amente injustas, es posible arbitrar otra de mérito opuesto, lo cual resulta compatible con el común tanto de la tarea legislativa como de la judicial (Fallos: 308-1655). Es que la ilogicidad y la imprevisibilidad no pueden presumirse, ni en el legislador </w:t>
      </w:r>
      <w:r>
        <w:rPr>
          <w:rFonts w:ascii="Arial" w:eastAsia="Arial" w:hAnsi="Arial" w:cs="Arial"/>
          <w:i/>
          <w:sz w:val="22"/>
          <w:szCs w:val="22"/>
        </w:rPr>
        <w:t>ni en el juez; por eso, la norma no debe ser interpretada aislada e individualmente, como si se tratara de una mera proposición lógica, sino formando parte de un contexto normativo-sistemático-histórico y teleológico, en el cual cabe suponer se integra coh</w:t>
      </w:r>
      <w:r>
        <w:rPr>
          <w:rFonts w:ascii="Arial" w:eastAsia="Arial" w:hAnsi="Arial" w:cs="Arial"/>
          <w:i/>
          <w:sz w:val="22"/>
          <w:szCs w:val="22"/>
        </w:rPr>
        <w:t>erentemente y sin contradicciones</w:t>
      </w:r>
      <w:r>
        <w:rPr>
          <w:rFonts w:ascii="Arial" w:eastAsia="Arial" w:hAnsi="Arial" w:cs="Arial"/>
          <w:sz w:val="22"/>
          <w:szCs w:val="22"/>
        </w:rPr>
        <w:t>…”</w:t>
      </w:r>
      <w:r>
        <w:rPr>
          <w:rFonts w:ascii="Arial" w:eastAsia="Arial" w:hAnsi="Arial" w:cs="Arial"/>
          <w:sz w:val="22"/>
          <w:szCs w:val="22"/>
          <w:vertAlign w:val="superscript"/>
        </w:rPr>
        <w:footnoteReference w:id="7"/>
      </w:r>
      <w:r>
        <w:rPr>
          <w:rFonts w:ascii="Arial" w:eastAsia="Arial" w:hAnsi="Arial" w:cs="Arial"/>
          <w:sz w:val="22"/>
          <w:szCs w:val="22"/>
        </w:rPr>
        <w:t>. Y en las conclusiones sienta lo siguiente: “</w:t>
      </w:r>
      <w:r>
        <w:rPr>
          <w:rFonts w:ascii="Arial" w:eastAsia="Arial" w:hAnsi="Arial" w:cs="Arial"/>
          <w:i/>
          <w:sz w:val="22"/>
          <w:szCs w:val="22"/>
        </w:rPr>
        <w:t>2. El adquirente de un inmueble mediando boleto triunfa en la tercería de mejor derecho o en la acción de oponibilidad ejercida en el proceso individual o concursal si se cum</w:t>
      </w:r>
      <w:r>
        <w:rPr>
          <w:rFonts w:ascii="Arial" w:eastAsia="Arial" w:hAnsi="Arial" w:cs="Arial"/>
          <w:i/>
          <w:sz w:val="22"/>
          <w:szCs w:val="22"/>
        </w:rPr>
        <w:t>plen los siguientes recaudos: a) El boleto tiene fecha cierta o existe certidumbre fáctica de su existencia anterior al embargo o a la apertura del concurso. b) El boleto tiene publicidad (registral o posesoria). c) El tercerista o peticionante en el concu</w:t>
      </w:r>
      <w:r>
        <w:rPr>
          <w:rFonts w:ascii="Arial" w:eastAsia="Arial" w:hAnsi="Arial" w:cs="Arial"/>
          <w:i/>
          <w:sz w:val="22"/>
          <w:szCs w:val="22"/>
        </w:rPr>
        <w:t xml:space="preserve">rso ha adquirido de quien es el titular registral o está en condiciones de subrogarse en su posición jurídica mediante un perfecto eslabonamiento entre los sucesivos adquirentes. d) El tercerista o peticionante en el concurso es de buena fe y ha pagado el </w:t>
      </w:r>
      <w:r>
        <w:rPr>
          <w:rFonts w:ascii="Arial" w:eastAsia="Arial" w:hAnsi="Arial" w:cs="Arial"/>
          <w:i/>
          <w:sz w:val="22"/>
          <w:szCs w:val="22"/>
        </w:rPr>
        <w:t>25% del precio con anterioridad a la traba del embargo o a la apertura del proceso universal</w:t>
      </w:r>
      <w:r>
        <w:rPr>
          <w:rFonts w:ascii="Arial" w:eastAsia="Arial" w:hAnsi="Arial" w:cs="Arial"/>
          <w:sz w:val="22"/>
          <w:szCs w:val="22"/>
        </w:rPr>
        <w:t xml:space="preserve">”.(8) </w:t>
      </w:r>
    </w:p>
    <w:p w:rsidR="00287724" w:rsidRDefault="00916EC4">
      <w:pPr>
        <w:spacing w:before="280" w:after="280" w:line="360" w:lineRule="auto"/>
        <w:jc w:val="both"/>
        <w:rPr>
          <w:rFonts w:ascii="Arial" w:eastAsia="Arial" w:hAnsi="Arial" w:cs="Arial"/>
          <w:sz w:val="22"/>
          <w:szCs w:val="22"/>
        </w:rPr>
      </w:pPr>
      <w:r>
        <w:rPr>
          <w:rFonts w:ascii="Arial" w:eastAsia="Arial" w:hAnsi="Arial" w:cs="Arial"/>
          <w:sz w:val="22"/>
          <w:szCs w:val="22"/>
        </w:rPr>
        <w:t xml:space="preserve">A modo de conclusión respecto al caso planteado en este punto se puede decir que se cumplimenta con dos cuestiones haber abonado más del 25% del precio y el </w:t>
      </w:r>
      <w:r>
        <w:rPr>
          <w:rFonts w:ascii="Arial" w:eastAsia="Arial" w:hAnsi="Arial" w:cs="Arial"/>
          <w:sz w:val="22"/>
          <w:szCs w:val="22"/>
        </w:rPr>
        <w:t xml:space="preserve">otorgamiento de la fecha cierta al documento, debido al boleto de compraventa con firma certificado y al pago bancarizado exhibido en la constancia de la transferencia realizada por el comprador del inmueble. </w:t>
      </w:r>
    </w:p>
    <w:p w:rsidR="00287724" w:rsidRDefault="00916EC4">
      <w:pPr>
        <w:spacing w:before="280" w:after="280" w:line="360" w:lineRule="auto"/>
        <w:jc w:val="both"/>
        <w:rPr>
          <w:rFonts w:ascii="Arial" w:eastAsia="Arial" w:hAnsi="Arial" w:cs="Arial"/>
          <w:sz w:val="22"/>
          <w:szCs w:val="22"/>
        </w:rPr>
      </w:pPr>
      <w:r>
        <w:rPr>
          <w:rFonts w:ascii="Arial" w:eastAsia="Arial" w:hAnsi="Arial" w:cs="Arial"/>
          <w:sz w:val="22"/>
          <w:szCs w:val="22"/>
        </w:rPr>
        <w:t>Sin embargo, se presume que la buena fe implic</w:t>
      </w:r>
      <w:r>
        <w:rPr>
          <w:rFonts w:ascii="Arial" w:eastAsia="Arial" w:hAnsi="Arial" w:cs="Arial"/>
          <w:sz w:val="22"/>
          <w:szCs w:val="22"/>
        </w:rPr>
        <w:t>a actuar con prudencia, verificando titularidad registral previa que se vislumbra con la posesión del bien que visibiliza el derecho del adquirente y permite a terceros conocer la relación de hecho. No se estaría advirtiendo en este caso, ya que el bien es</w:t>
      </w:r>
      <w:r>
        <w:rPr>
          <w:rFonts w:ascii="Arial" w:eastAsia="Arial" w:hAnsi="Arial" w:cs="Arial"/>
          <w:sz w:val="22"/>
          <w:szCs w:val="22"/>
        </w:rPr>
        <w:t>tá en posesión del fallido el cual explota en el mismo su materia prima tal como surge de la constatación judicial realizada en el inmueble. Asimismo, el mismo fue impugnado por un acreedor que manifiesta que se trata de una compraventa fraudulenta tendien</w:t>
      </w:r>
      <w:r>
        <w:rPr>
          <w:rFonts w:ascii="Arial" w:eastAsia="Arial" w:hAnsi="Arial" w:cs="Arial"/>
          <w:sz w:val="22"/>
          <w:szCs w:val="22"/>
        </w:rPr>
        <w:t>te a disminuir el activo del fallido al advertir que sigue en posesión del fallido.</w:t>
      </w:r>
    </w:p>
    <w:p w:rsidR="00287724" w:rsidRDefault="00916EC4">
      <w:pPr>
        <w:spacing w:before="280" w:after="280" w:line="360" w:lineRule="auto"/>
        <w:jc w:val="both"/>
        <w:rPr>
          <w:rFonts w:ascii="Arial" w:eastAsia="Arial" w:hAnsi="Arial" w:cs="Arial"/>
          <w:i/>
          <w:sz w:val="22"/>
          <w:szCs w:val="22"/>
        </w:rPr>
      </w:pPr>
      <w:r>
        <w:rPr>
          <w:rFonts w:ascii="Arial" w:eastAsia="Arial" w:hAnsi="Arial" w:cs="Arial"/>
          <w:i/>
          <w:sz w:val="22"/>
          <w:szCs w:val="22"/>
        </w:rPr>
        <w:t>Además, se advierte que ni el artículo 146 (segundo párrafo) de la LCQ ni el art. 1.171 del CCC requieren que se dé la posesión del bien tales artículos denotan que se debe</w:t>
      </w:r>
      <w:r>
        <w:rPr>
          <w:rFonts w:ascii="Arial" w:eastAsia="Arial" w:hAnsi="Arial" w:cs="Arial"/>
          <w:i/>
          <w:sz w:val="22"/>
          <w:szCs w:val="22"/>
        </w:rPr>
        <w:t xml:space="preserve"> velar por la buena fe de la compraventa del inmueble, se presume que no se cumplimenta si no se tiene la posesión siendo un indicio de mala fe en la operatoria mencionada. </w:t>
      </w:r>
    </w:p>
    <w:p w:rsidR="00287724" w:rsidRDefault="00916EC4">
      <w:pPr>
        <w:spacing w:before="280" w:after="280" w:line="360" w:lineRule="auto"/>
        <w:jc w:val="both"/>
        <w:rPr>
          <w:rFonts w:ascii="Arial" w:eastAsia="Arial" w:hAnsi="Arial" w:cs="Arial"/>
          <w:i/>
          <w:sz w:val="22"/>
          <w:szCs w:val="22"/>
        </w:rPr>
      </w:pPr>
      <w:r>
        <w:rPr>
          <w:rFonts w:ascii="Arial" w:eastAsia="Arial" w:hAnsi="Arial" w:cs="Arial"/>
          <w:i/>
          <w:sz w:val="22"/>
          <w:szCs w:val="22"/>
        </w:rPr>
        <w:t>De igual modo para el caso planteado no se consideran los arts. 146 LCQ y 1.171 de</w:t>
      </w:r>
      <w:r>
        <w:rPr>
          <w:rFonts w:ascii="Arial" w:eastAsia="Arial" w:hAnsi="Arial" w:cs="Arial"/>
          <w:i/>
          <w:sz w:val="22"/>
          <w:szCs w:val="22"/>
        </w:rPr>
        <w:t xml:space="preserve">l CCCN teniendo en cuenta que la sola posesión del inmueble no convalida una transacción celebrada en el contexto de cesación de pagos o insolvencia inminente, cuando dicha operación resulta perjudicial para la masa de acreedores. Conforme al artículo 146 </w:t>
      </w:r>
      <w:r>
        <w:rPr>
          <w:rFonts w:ascii="Arial" w:eastAsia="Arial" w:hAnsi="Arial" w:cs="Arial"/>
          <w:i/>
          <w:sz w:val="22"/>
          <w:szCs w:val="22"/>
        </w:rPr>
        <w:t>de la Ley de Concursos y Quiebras, los actos que impliquen una preferencia indebida o un fraude a los acreedores carecen de eficacia frente al proceso concursal, aún cuando medie entrega de la posesión. En igual sentido, el artículo 1170 del Código Civil y</w:t>
      </w:r>
      <w:r>
        <w:rPr>
          <w:rFonts w:ascii="Arial" w:eastAsia="Arial" w:hAnsi="Arial" w:cs="Arial"/>
          <w:i/>
          <w:sz w:val="22"/>
          <w:szCs w:val="22"/>
        </w:rPr>
        <w:t xml:space="preserve"> Comercial de la Nación refuerza el principio de protección del contratante débil y la necesidad de interpretar restrictivamente toda cláusula o acto que pretenda eludir controles de legalidad y buena fe. La doctrina de Darío Graziabile, tanto en Instituci</w:t>
      </w:r>
      <w:r>
        <w:rPr>
          <w:rFonts w:ascii="Arial" w:eastAsia="Arial" w:hAnsi="Arial" w:cs="Arial"/>
          <w:i/>
          <w:sz w:val="22"/>
          <w:szCs w:val="22"/>
        </w:rPr>
        <w:t>ones de Derecho Privado V (2018) como en Verificación de Créditos (2015), sostiene que los jueces deben rechazar aquellas pretensiones fundadas en transacciones simuladas o carentes de causa legítima, priorizando la igualdad de los acreedores y la protecci</w:t>
      </w:r>
      <w:r>
        <w:rPr>
          <w:rFonts w:ascii="Arial" w:eastAsia="Arial" w:hAnsi="Arial" w:cs="Arial"/>
          <w:i/>
          <w:sz w:val="22"/>
          <w:szCs w:val="22"/>
        </w:rPr>
        <w:t>ón del orden público concursal.</w:t>
      </w:r>
    </w:p>
    <w:p w:rsidR="00287724" w:rsidRDefault="00916EC4">
      <w:pPr>
        <w:spacing w:line="360" w:lineRule="auto"/>
        <w:jc w:val="both"/>
        <w:rPr>
          <w:rFonts w:ascii="Arial" w:eastAsia="Arial" w:hAnsi="Arial" w:cs="Arial"/>
          <w:i/>
          <w:sz w:val="22"/>
          <w:szCs w:val="22"/>
        </w:rPr>
      </w:pPr>
      <w:r>
        <w:rPr>
          <w:rFonts w:ascii="Arial" w:eastAsia="Arial" w:hAnsi="Arial" w:cs="Arial"/>
          <w:i/>
          <w:sz w:val="22"/>
          <w:szCs w:val="22"/>
        </w:rPr>
        <w:t>Además, los artículos 1171 del Código Civil y Comercial de la Nación (CCCN) y 146 de la Ley de Concursos y Quiebras (LCQ) no aplican en casos donde no se cumplen los requisitos específicos establecidos por dichas normativas.</w:t>
      </w:r>
      <w:r>
        <w:rPr>
          <w:rFonts w:ascii="Arial" w:eastAsia="Arial" w:hAnsi="Arial" w:cs="Arial"/>
          <w:i/>
          <w:sz w:val="22"/>
          <w:szCs w:val="22"/>
        </w:rPr>
        <w:t xml:space="preserve"> Por ejemplo:</w:t>
      </w:r>
    </w:p>
    <w:p w:rsidR="00287724" w:rsidRDefault="00287724">
      <w:pPr>
        <w:spacing w:line="360" w:lineRule="auto"/>
        <w:jc w:val="both"/>
        <w:rPr>
          <w:rFonts w:ascii="Arial" w:eastAsia="Arial" w:hAnsi="Arial" w:cs="Arial"/>
          <w:i/>
          <w:sz w:val="22"/>
          <w:szCs w:val="22"/>
        </w:rPr>
      </w:pPr>
    </w:p>
    <w:p w:rsidR="00287724" w:rsidRDefault="00916EC4">
      <w:pPr>
        <w:spacing w:line="360" w:lineRule="auto"/>
        <w:jc w:val="both"/>
        <w:rPr>
          <w:rFonts w:ascii="Arial" w:eastAsia="Arial" w:hAnsi="Arial" w:cs="Arial"/>
          <w:i/>
          <w:sz w:val="22"/>
          <w:szCs w:val="22"/>
        </w:rPr>
      </w:pPr>
      <w:r>
        <w:rPr>
          <w:rFonts w:ascii="Arial" w:eastAsia="Arial" w:hAnsi="Arial" w:cs="Arial"/>
          <w:i/>
          <w:sz w:val="22"/>
          <w:szCs w:val="22"/>
        </w:rPr>
        <w:t>-Falta de pago del 25% del precio: Ambos artículos exigen que el comprador haya abonado al menos el 25% del precio del inmueble antes de la quiebra del vendedor. Si este requisito no se cumple, el boleto de compraventa no será oponible al co</w:t>
      </w:r>
      <w:r>
        <w:rPr>
          <w:rFonts w:ascii="Arial" w:eastAsia="Arial" w:hAnsi="Arial" w:cs="Arial"/>
          <w:i/>
          <w:sz w:val="22"/>
          <w:szCs w:val="22"/>
        </w:rPr>
        <w:t>ncurso o quiebra. Para el presente caso se estaría cumplimentando este requisito</w:t>
      </w:r>
    </w:p>
    <w:p w:rsidR="00287724" w:rsidRDefault="00916EC4">
      <w:pPr>
        <w:spacing w:line="360" w:lineRule="auto"/>
        <w:jc w:val="both"/>
        <w:rPr>
          <w:rFonts w:ascii="Arial" w:eastAsia="Arial" w:hAnsi="Arial" w:cs="Arial"/>
          <w:i/>
          <w:sz w:val="22"/>
          <w:szCs w:val="22"/>
        </w:rPr>
      </w:pPr>
      <w:r>
        <w:rPr>
          <w:rFonts w:ascii="Arial" w:eastAsia="Arial" w:hAnsi="Arial" w:cs="Arial"/>
          <w:i/>
          <w:sz w:val="22"/>
          <w:szCs w:val="22"/>
        </w:rPr>
        <w:t>​</w:t>
      </w:r>
      <w:r>
        <w:rPr>
          <w:rFonts w:ascii="Arial" w:eastAsia="Arial" w:hAnsi="Arial" w:cs="Arial"/>
          <w:i/>
          <w:sz w:val="22"/>
          <w:szCs w:val="22"/>
        </w:rPr>
        <w:t>-Ausencia de buena fe: La normativa requiere que el comprador actúe de buena fe, es decir, que no tenga conocimiento del estado de cesación de pagos del vendedor al momento d</w:t>
      </w:r>
      <w:r>
        <w:rPr>
          <w:rFonts w:ascii="Arial" w:eastAsia="Arial" w:hAnsi="Arial" w:cs="Arial"/>
          <w:i/>
          <w:sz w:val="22"/>
          <w:szCs w:val="22"/>
        </w:rPr>
        <w:t>e la contratación. Si se demuestra mala fe, el boleto no será válido frente al concurso. Es lo que se cuestiona ya que se presenta una impugnación por una posible defraudación para exagerar el pasivo del deudor o disminuir el activo del fallido.</w:t>
      </w:r>
    </w:p>
    <w:p w:rsidR="00287724" w:rsidRDefault="00916EC4">
      <w:pPr>
        <w:spacing w:line="360" w:lineRule="auto"/>
        <w:jc w:val="both"/>
        <w:rPr>
          <w:rFonts w:ascii="Arial" w:eastAsia="Arial" w:hAnsi="Arial" w:cs="Arial"/>
          <w:i/>
          <w:sz w:val="22"/>
          <w:szCs w:val="22"/>
        </w:rPr>
      </w:pPr>
      <w:r>
        <w:rPr>
          <w:rFonts w:ascii="Arial" w:eastAsia="Arial" w:hAnsi="Arial" w:cs="Arial"/>
          <w:i/>
          <w:sz w:val="22"/>
          <w:szCs w:val="22"/>
        </w:rPr>
        <w:t>​</w:t>
      </w:r>
      <w:r>
        <w:rPr>
          <w:rFonts w:ascii="Arial" w:eastAsia="Arial" w:hAnsi="Arial" w:cs="Arial"/>
          <w:i/>
          <w:sz w:val="22"/>
          <w:szCs w:val="22"/>
        </w:rPr>
        <w:t>-Falta de</w:t>
      </w:r>
      <w:r>
        <w:rPr>
          <w:rFonts w:ascii="Arial" w:eastAsia="Arial" w:hAnsi="Arial" w:cs="Arial"/>
          <w:i/>
          <w:sz w:val="22"/>
          <w:szCs w:val="22"/>
        </w:rPr>
        <w:t xml:space="preserve"> fecha cierta: El artículo 1171 del CCCN exige que el boleto tenga fecha cierta, lo que implica que debe haber evidencia clara de que el documento fue firmado antes de la quiebra. Sin este requisito, el boleto no será oponible. Siendo que se da este requis</w:t>
      </w:r>
      <w:r>
        <w:rPr>
          <w:rFonts w:ascii="Arial" w:eastAsia="Arial" w:hAnsi="Arial" w:cs="Arial"/>
          <w:i/>
          <w:sz w:val="22"/>
          <w:szCs w:val="22"/>
        </w:rPr>
        <w:t xml:space="preserve">ito ya que se firma por escribano público otorgándole una fecha cierta al documento. </w:t>
      </w:r>
    </w:p>
    <w:p w:rsidR="00287724" w:rsidRDefault="00916EC4">
      <w:pPr>
        <w:spacing w:line="360" w:lineRule="auto"/>
        <w:jc w:val="both"/>
        <w:rPr>
          <w:rFonts w:ascii="Arial" w:eastAsia="Arial" w:hAnsi="Arial" w:cs="Arial"/>
          <w:i/>
          <w:sz w:val="22"/>
          <w:szCs w:val="22"/>
        </w:rPr>
      </w:pPr>
      <w:r>
        <w:rPr>
          <w:rFonts w:ascii="Arial" w:eastAsia="Arial" w:hAnsi="Arial" w:cs="Arial"/>
          <w:i/>
          <w:sz w:val="22"/>
          <w:szCs w:val="22"/>
        </w:rPr>
        <w:t>​</w:t>
      </w:r>
      <w:r>
        <w:rPr>
          <w:rFonts w:ascii="Arial" w:eastAsia="Arial" w:hAnsi="Arial" w:cs="Arial"/>
          <w:i/>
          <w:sz w:val="22"/>
          <w:szCs w:val="22"/>
        </w:rPr>
        <w:t>-Imposibilidad de escrituración: Si el inmueble no está en condiciones legales o materiales para ser escriturado, el boleto no podrá ser oponible, y el comprador solo po</w:t>
      </w:r>
      <w:r>
        <w:rPr>
          <w:rFonts w:ascii="Arial" w:eastAsia="Arial" w:hAnsi="Arial" w:cs="Arial"/>
          <w:i/>
          <w:sz w:val="22"/>
          <w:szCs w:val="22"/>
        </w:rPr>
        <w:t xml:space="preserve">drá reclamar como acreedor quirografario. </w:t>
      </w:r>
    </w:p>
    <w:p w:rsidR="00287724" w:rsidRDefault="00916EC4">
      <w:pPr>
        <w:spacing w:line="360" w:lineRule="auto"/>
        <w:jc w:val="both"/>
        <w:rPr>
          <w:rFonts w:ascii="Arial" w:eastAsia="Arial" w:hAnsi="Arial" w:cs="Arial"/>
          <w:i/>
          <w:sz w:val="22"/>
          <w:szCs w:val="22"/>
        </w:rPr>
      </w:pPr>
      <w:r>
        <w:rPr>
          <w:rFonts w:ascii="Arial" w:eastAsia="Arial" w:hAnsi="Arial" w:cs="Arial"/>
          <w:i/>
          <w:sz w:val="22"/>
          <w:szCs w:val="22"/>
        </w:rPr>
        <w:t>​</w:t>
      </w:r>
      <w:r>
        <w:rPr>
          <w:rFonts w:ascii="Arial" w:eastAsia="Arial" w:hAnsi="Arial" w:cs="Arial"/>
          <w:i/>
          <w:sz w:val="22"/>
          <w:szCs w:val="22"/>
        </w:rPr>
        <w:t>Finalmente, s</w:t>
      </w:r>
      <w:r>
        <w:rPr>
          <w:rFonts w:ascii="Arial" w:eastAsia="Arial" w:hAnsi="Arial" w:cs="Arial"/>
          <w:sz w:val="22"/>
          <w:szCs w:val="22"/>
        </w:rPr>
        <w:t>i bien el boleto exhibe firmas certificadas y parte del precio abonado mediante transferencia —elementos que le otorgan fecha cierta (CCyCN, art. 317)— subsisten dudas razonables respecto de su finalidad, dado que:</w:t>
      </w:r>
    </w:p>
    <w:p w:rsidR="00287724" w:rsidRDefault="00916EC4">
      <w:pPr>
        <w:numPr>
          <w:ilvl w:val="1"/>
          <w:numId w:val="10"/>
        </w:numPr>
        <w:spacing w:before="280" w:after="0" w:line="360" w:lineRule="auto"/>
        <w:jc w:val="both"/>
      </w:pPr>
      <w:r>
        <w:rPr>
          <w:rFonts w:ascii="Arial" w:eastAsia="Arial" w:hAnsi="Arial" w:cs="Arial"/>
          <w:sz w:val="22"/>
          <w:szCs w:val="22"/>
        </w:rPr>
        <w:t>El inmueble sigue en posesión del fallido</w:t>
      </w:r>
      <w:r>
        <w:rPr>
          <w:rFonts w:ascii="Arial" w:eastAsia="Arial" w:hAnsi="Arial" w:cs="Arial"/>
          <w:sz w:val="22"/>
          <w:szCs w:val="22"/>
        </w:rPr>
        <w:t>.</w:t>
      </w:r>
    </w:p>
    <w:p w:rsidR="00287724" w:rsidRDefault="00916EC4">
      <w:pPr>
        <w:numPr>
          <w:ilvl w:val="1"/>
          <w:numId w:val="10"/>
        </w:numPr>
        <w:spacing w:after="0" w:line="360" w:lineRule="auto"/>
        <w:jc w:val="both"/>
      </w:pPr>
      <w:r>
        <w:rPr>
          <w:rFonts w:ascii="Arial" w:eastAsia="Arial" w:hAnsi="Arial" w:cs="Arial"/>
          <w:sz w:val="22"/>
          <w:szCs w:val="22"/>
        </w:rPr>
        <w:t>Se encuentra afectado a su actividad comercial.</w:t>
      </w:r>
    </w:p>
    <w:p w:rsidR="00287724" w:rsidRDefault="00916EC4">
      <w:pPr>
        <w:numPr>
          <w:ilvl w:val="1"/>
          <w:numId w:val="10"/>
        </w:numPr>
        <w:spacing w:after="280" w:line="360" w:lineRule="auto"/>
        <w:jc w:val="both"/>
      </w:pPr>
      <w:r>
        <w:rPr>
          <w:rFonts w:ascii="Arial" w:eastAsia="Arial" w:hAnsi="Arial" w:cs="Arial"/>
          <w:sz w:val="22"/>
          <w:szCs w:val="22"/>
        </w:rPr>
        <w:t>La impugnación de otro acreedor y la constatación del estado del inmueble generan sospecha de simulación o fraude concursal.</w:t>
      </w:r>
    </w:p>
    <w:p w:rsidR="00287724" w:rsidRDefault="00916EC4">
      <w:pPr>
        <w:spacing w:before="280" w:after="280" w:line="360" w:lineRule="auto"/>
        <w:jc w:val="both"/>
        <w:rPr>
          <w:rFonts w:ascii="Arial" w:eastAsia="Arial" w:hAnsi="Arial" w:cs="Arial"/>
          <w:sz w:val="22"/>
          <w:szCs w:val="22"/>
        </w:rPr>
      </w:pPr>
      <w:r>
        <w:rPr>
          <w:rFonts w:ascii="Arial" w:eastAsia="Arial" w:hAnsi="Arial" w:cs="Arial"/>
          <w:sz w:val="22"/>
          <w:szCs w:val="22"/>
        </w:rPr>
        <w:t>Teniendo en cuenta la doctrina basada en el caso se puede citar lo mencionado por Osso, María C.</w:t>
      </w:r>
      <w:r>
        <w:rPr>
          <w:rFonts w:ascii="Arial" w:eastAsia="Arial" w:hAnsi="Arial" w:cs="Arial"/>
          <w:sz w:val="22"/>
          <w:szCs w:val="22"/>
          <w:vertAlign w:val="superscript"/>
        </w:rPr>
        <w:footnoteReference w:id="8"/>
      </w:r>
      <w:r>
        <w:rPr>
          <w:rFonts w:ascii="Arial" w:eastAsia="Arial" w:hAnsi="Arial" w:cs="Arial"/>
          <w:sz w:val="22"/>
          <w:szCs w:val="22"/>
        </w:rPr>
        <w:t>, la cual establece que el CCyCN armonizó con acierto la jurisprudencia y normas concursales vigentes.</w:t>
      </w:r>
    </w:p>
    <w:p w:rsidR="00287724" w:rsidRDefault="00916EC4">
      <w:pPr>
        <w:spacing w:before="280" w:after="280" w:line="360" w:lineRule="auto"/>
        <w:jc w:val="both"/>
        <w:rPr>
          <w:rFonts w:ascii="Arial" w:eastAsia="Arial" w:hAnsi="Arial" w:cs="Arial"/>
          <w:sz w:val="22"/>
          <w:szCs w:val="22"/>
        </w:rPr>
      </w:pPr>
      <w:r>
        <w:rPr>
          <w:rFonts w:ascii="Arial" w:eastAsia="Arial" w:hAnsi="Arial" w:cs="Arial"/>
          <w:sz w:val="22"/>
          <w:szCs w:val="22"/>
        </w:rPr>
        <w:t>Si bien ni el artículo 1171 del Código Civil y Comercial</w:t>
      </w:r>
      <w:r>
        <w:rPr>
          <w:rFonts w:ascii="Arial" w:eastAsia="Arial" w:hAnsi="Arial" w:cs="Arial"/>
          <w:sz w:val="22"/>
          <w:szCs w:val="22"/>
        </w:rPr>
        <w:t xml:space="preserve"> de la Nación ni el artículo 146 de la Ley de Concursos y Quiebras exigen expresamente la posesión como requisito para la oponibilidad del boleto frente a la masa concursal, existe un debate doctrinario respecto de su exigibilidad.</w:t>
      </w:r>
    </w:p>
    <w:p w:rsidR="00287724" w:rsidRDefault="00916EC4">
      <w:pPr>
        <w:spacing w:before="280" w:after="280" w:line="360" w:lineRule="auto"/>
        <w:jc w:val="both"/>
        <w:rPr>
          <w:rFonts w:ascii="Arial" w:eastAsia="Arial" w:hAnsi="Arial" w:cs="Arial"/>
          <w:sz w:val="22"/>
          <w:szCs w:val="22"/>
        </w:rPr>
      </w:pPr>
      <w:bookmarkStart w:id="5" w:name="_lt5jg53cq6a0" w:colFirst="0" w:colLast="0"/>
      <w:bookmarkEnd w:id="5"/>
      <w:r>
        <w:rPr>
          <w:rFonts w:ascii="Arial" w:eastAsia="Arial" w:hAnsi="Arial" w:cs="Arial"/>
          <w:sz w:val="22"/>
          <w:szCs w:val="22"/>
        </w:rPr>
        <w:t>Una parte de la doctrina</w:t>
      </w:r>
      <w:r>
        <w:rPr>
          <w:rFonts w:ascii="Arial" w:eastAsia="Arial" w:hAnsi="Arial" w:cs="Arial"/>
          <w:sz w:val="22"/>
          <w:szCs w:val="22"/>
        </w:rPr>
        <w:t xml:space="preserve"> sostiene que la posesión no resulta indispensable, especialmente cuando su entrega fue diferida por acuerdo de partes o condicionada a la escrituración. Así, autores como Graciela Medina y Carlos Hernández </w:t>
      </w:r>
      <w:r>
        <w:rPr>
          <w:rFonts w:ascii="Arial" w:eastAsia="Arial" w:hAnsi="Arial" w:cs="Arial"/>
          <w:sz w:val="22"/>
          <w:szCs w:val="22"/>
          <w:vertAlign w:val="superscript"/>
        </w:rPr>
        <w:footnoteReference w:id="9"/>
      </w:r>
      <w:r>
        <w:rPr>
          <w:rFonts w:ascii="Arial" w:eastAsia="Arial" w:hAnsi="Arial" w:cs="Arial"/>
          <w:sz w:val="22"/>
          <w:szCs w:val="22"/>
        </w:rPr>
        <w:t>consideran que, cumplido el recaudo del pago del</w:t>
      </w:r>
      <w:r>
        <w:rPr>
          <w:rFonts w:ascii="Arial" w:eastAsia="Arial" w:hAnsi="Arial" w:cs="Arial"/>
          <w:sz w:val="22"/>
          <w:szCs w:val="22"/>
        </w:rPr>
        <w:t xml:space="preserve"> 25% del precio y probada la buena fe del adquirente, el boleto puede ser oponible sin necesidad de posesión efectiva. En este sentido, se argumenta que el legislador eligió deliberadamente no exigirla al regular el artículo 1171 CCyCN.</w:t>
      </w:r>
    </w:p>
    <w:p w:rsidR="00287724" w:rsidRDefault="00916EC4">
      <w:pPr>
        <w:spacing w:before="280" w:after="280" w:line="360" w:lineRule="auto"/>
        <w:jc w:val="both"/>
        <w:rPr>
          <w:rFonts w:ascii="Arial" w:eastAsia="Arial" w:hAnsi="Arial" w:cs="Arial"/>
          <w:sz w:val="22"/>
          <w:szCs w:val="22"/>
        </w:rPr>
      </w:pPr>
      <w:r>
        <w:rPr>
          <w:rFonts w:ascii="Arial" w:eastAsia="Arial" w:hAnsi="Arial" w:cs="Arial"/>
          <w:sz w:val="22"/>
          <w:szCs w:val="22"/>
        </w:rPr>
        <w:t xml:space="preserve">En la misma línea, </w:t>
      </w:r>
      <w:r>
        <w:rPr>
          <w:rFonts w:ascii="Arial" w:eastAsia="Arial" w:hAnsi="Arial" w:cs="Arial"/>
          <w:sz w:val="22"/>
          <w:szCs w:val="22"/>
        </w:rPr>
        <w:t>la jurisprudencia ha admitido la oponibilidad del boleto en ausencia de posesión, al valorar la voluntad negocial, el cumplimiento parcial del precio y la inexistencia de fraude, por ejemplo, en “Cía. Argentina de Inversiones Inmobiliarias SA c/ Construsho</w:t>
      </w:r>
      <w:r>
        <w:rPr>
          <w:rFonts w:ascii="Arial" w:eastAsia="Arial" w:hAnsi="Arial" w:cs="Arial"/>
          <w:sz w:val="22"/>
          <w:szCs w:val="22"/>
        </w:rPr>
        <w:t>p SA s/ Incidente de revisión”, CNCiv, sala A, 28/06/2021</w:t>
      </w:r>
      <w:r>
        <w:rPr>
          <w:rFonts w:ascii="Arial" w:eastAsia="Arial" w:hAnsi="Arial" w:cs="Arial"/>
          <w:sz w:val="22"/>
          <w:szCs w:val="22"/>
          <w:vertAlign w:val="superscript"/>
        </w:rPr>
        <w:footnoteReference w:id="10"/>
      </w:r>
      <w:r>
        <w:rPr>
          <w:rFonts w:ascii="Arial" w:eastAsia="Arial" w:hAnsi="Arial" w:cs="Arial"/>
          <w:sz w:val="22"/>
          <w:szCs w:val="22"/>
        </w:rPr>
        <w:t>.</w:t>
      </w:r>
    </w:p>
    <w:p w:rsidR="00287724" w:rsidRDefault="00916EC4">
      <w:pPr>
        <w:spacing w:before="280" w:after="280" w:line="360" w:lineRule="auto"/>
        <w:jc w:val="both"/>
        <w:rPr>
          <w:rFonts w:ascii="Arial" w:eastAsia="Arial" w:hAnsi="Arial" w:cs="Arial"/>
          <w:sz w:val="22"/>
          <w:szCs w:val="22"/>
        </w:rPr>
      </w:pPr>
      <w:bookmarkStart w:id="6" w:name="_ilcqvmk6no25" w:colFirst="0" w:colLast="0"/>
      <w:bookmarkEnd w:id="6"/>
      <w:r>
        <w:rPr>
          <w:rFonts w:ascii="Arial" w:eastAsia="Arial" w:hAnsi="Arial" w:cs="Arial"/>
          <w:sz w:val="22"/>
          <w:szCs w:val="22"/>
        </w:rPr>
        <w:t>Sin embargo, otra corriente —a la que adherimos— entiende que la posesión es un elemento relevante y, en la práctica, necesario para la oponibilidad del boleto frente al proceso concursal. Este en</w:t>
      </w:r>
      <w:r>
        <w:rPr>
          <w:rFonts w:ascii="Arial" w:eastAsia="Arial" w:hAnsi="Arial" w:cs="Arial"/>
          <w:sz w:val="22"/>
          <w:szCs w:val="22"/>
        </w:rPr>
        <w:t xml:space="preserve">foque enfatiza que la toma de posesión exterioriza el cumplimiento del contrato, consolida una situación de hecho pública, y refuerza la protección del comprador frente a terceros, incluida la masa de acreedores. Así lo sostienen, entre otros, Martorell y </w:t>
      </w:r>
      <w:r>
        <w:rPr>
          <w:rFonts w:ascii="Arial" w:eastAsia="Arial" w:hAnsi="Arial" w:cs="Arial"/>
          <w:sz w:val="22"/>
          <w:szCs w:val="22"/>
        </w:rPr>
        <w:t>Maffía</w:t>
      </w:r>
      <w:r>
        <w:rPr>
          <w:rFonts w:ascii="Arial" w:eastAsia="Arial" w:hAnsi="Arial" w:cs="Arial"/>
          <w:sz w:val="22"/>
          <w:szCs w:val="22"/>
          <w:vertAlign w:val="superscript"/>
        </w:rPr>
        <w:footnoteReference w:id="11"/>
      </w:r>
      <w:r>
        <w:rPr>
          <w:rFonts w:ascii="Arial" w:eastAsia="Arial" w:hAnsi="Arial" w:cs="Arial"/>
          <w:sz w:val="22"/>
          <w:szCs w:val="22"/>
        </w:rPr>
        <w:t>, quienes afirman que la posesión es el “modo por excelencia de publicidad posesoria” y que sin ella no hay un acto que ponga en conocimiento de terceros la existencia del contrato.</w:t>
      </w:r>
    </w:p>
    <w:p w:rsidR="00287724" w:rsidRDefault="00916EC4">
      <w:pPr>
        <w:spacing w:before="280" w:after="280" w:line="360" w:lineRule="auto"/>
        <w:jc w:val="both"/>
        <w:rPr>
          <w:rFonts w:ascii="Arial" w:eastAsia="Arial" w:hAnsi="Arial" w:cs="Arial"/>
          <w:sz w:val="22"/>
          <w:szCs w:val="22"/>
        </w:rPr>
      </w:pPr>
      <w:bookmarkStart w:id="7" w:name="_5i8zjzbze1fh" w:colFirst="0" w:colLast="0"/>
      <w:bookmarkEnd w:id="7"/>
      <w:r>
        <w:rPr>
          <w:rFonts w:ascii="Arial" w:eastAsia="Arial" w:hAnsi="Arial" w:cs="Arial"/>
          <w:sz w:val="22"/>
          <w:szCs w:val="22"/>
        </w:rPr>
        <w:t xml:space="preserve">Asimismo, en “Fisco Nacional c/ Bravo José Alberto s/ incidente de </w:t>
      </w:r>
      <w:r>
        <w:rPr>
          <w:rFonts w:ascii="Arial" w:eastAsia="Arial" w:hAnsi="Arial" w:cs="Arial"/>
          <w:sz w:val="22"/>
          <w:szCs w:val="22"/>
        </w:rPr>
        <w:t>revisión”, CNCom., sala E, 24/02/2017</w:t>
      </w:r>
      <w:r>
        <w:rPr>
          <w:rFonts w:ascii="Arial" w:eastAsia="Arial" w:hAnsi="Arial" w:cs="Arial"/>
          <w:sz w:val="22"/>
          <w:szCs w:val="22"/>
          <w:vertAlign w:val="superscript"/>
        </w:rPr>
        <w:footnoteReference w:id="12"/>
      </w:r>
      <w:r>
        <w:rPr>
          <w:rFonts w:ascii="Arial" w:eastAsia="Arial" w:hAnsi="Arial" w:cs="Arial"/>
          <w:sz w:val="22"/>
          <w:szCs w:val="22"/>
        </w:rPr>
        <w:t xml:space="preserve"> se resolvió que la falta de posesión impedía considerar oponible el boleto de compraventa, aun habiéndose abonado más del 25% del precio, por entender que no se configuraba una situación que mereciera tutela frente a </w:t>
      </w:r>
      <w:r>
        <w:rPr>
          <w:rFonts w:ascii="Arial" w:eastAsia="Arial" w:hAnsi="Arial" w:cs="Arial"/>
          <w:sz w:val="22"/>
          <w:szCs w:val="22"/>
        </w:rPr>
        <w:t>la masa.</w:t>
      </w:r>
    </w:p>
    <w:p w:rsidR="00287724" w:rsidRDefault="00916EC4">
      <w:pPr>
        <w:spacing w:before="280" w:after="280" w:line="360" w:lineRule="auto"/>
        <w:jc w:val="both"/>
        <w:rPr>
          <w:rFonts w:ascii="Arial" w:eastAsia="Arial" w:hAnsi="Arial" w:cs="Arial"/>
          <w:sz w:val="22"/>
          <w:szCs w:val="22"/>
        </w:rPr>
      </w:pPr>
      <w:r>
        <w:rPr>
          <w:rFonts w:ascii="Arial" w:eastAsia="Arial" w:hAnsi="Arial" w:cs="Arial"/>
          <w:sz w:val="22"/>
          <w:szCs w:val="22"/>
        </w:rPr>
        <w:t>En conclusión, si bien existen fundamentos respetables en ambos sentidos, se entiende que la posesión es un elemento clave para sostener la oponibilidad del boleto de compraventa en el marco concusal, en tanto configura un hecho externo que robust</w:t>
      </w:r>
      <w:r>
        <w:rPr>
          <w:rFonts w:ascii="Arial" w:eastAsia="Arial" w:hAnsi="Arial" w:cs="Arial"/>
          <w:sz w:val="22"/>
          <w:szCs w:val="22"/>
        </w:rPr>
        <w:t>ece la apariencia jurídica del comprador y aporta a la seguridad del tráfico.</w:t>
      </w:r>
    </w:p>
    <w:p w:rsidR="00287724" w:rsidRDefault="00916EC4">
      <w:pPr>
        <w:spacing w:before="280" w:after="280" w:line="360" w:lineRule="auto"/>
        <w:jc w:val="both"/>
        <w:rPr>
          <w:rFonts w:ascii="Arial" w:eastAsia="Arial" w:hAnsi="Arial" w:cs="Arial"/>
          <w:sz w:val="22"/>
          <w:szCs w:val="22"/>
        </w:rPr>
      </w:pPr>
      <w:r>
        <w:rPr>
          <w:rFonts w:ascii="Arial" w:eastAsia="Arial" w:hAnsi="Arial" w:cs="Arial"/>
          <w:sz w:val="22"/>
          <w:szCs w:val="22"/>
        </w:rPr>
        <w:t>Respecto de lo expuesto anteriormente se puede decir lo siguiente:</w:t>
      </w:r>
    </w:p>
    <w:p w:rsidR="00287724" w:rsidRDefault="00916EC4">
      <w:pPr>
        <w:numPr>
          <w:ilvl w:val="0"/>
          <w:numId w:val="2"/>
        </w:numPr>
        <w:spacing w:before="280" w:after="0" w:line="360" w:lineRule="auto"/>
        <w:jc w:val="both"/>
      </w:pPr>
      <w:r>
        <w:rPr>
          <w:rFonts w:ascii="Arial" w:eastAsia="Arial" w:hAnsi="Arial" w:cs="Arial"/>
          <w:sz w:val="22"/>
          <w:szCs w:val="22"/>
        </w:rPr>
        <w:t xml:space="preserve">La </w:t>
      </w:r>
      <w:r>
        <w:rPr>
          <w:rFonts w:ascii="Arial" w:eastAsia="Arial" w:hAnsi="Arial" w:cs="Arial"/>
          <w:b/>
          <w:sz w:val="22"/>
          <w:szCs w:val="22"/>
        </w:rPr>
        <w:t>Ley de Concursos (LCQ)</w:t>
      </w:r>
      <w:r>
        <w:rPr>
          <w:rFonts w:ascii="Arial" w:eastAsia="Arial" w:hAnsi="Arial" w:cs="Arial"/>
          <w:sz w:val="22"/>
          <w:szCs w:val="22"/>
        </w:rPr>
        <w:t xml:space="preserve"> no fue reformada, pero sigue siendo relevante junto al nuevo Código.</w:t>
      </w:r>
    </w:p>
    <w:p w:rsidR="00287724" w:rsidRDefault="00916EC4">
      <w:pPr>
        <w:numPr>
          <w:ilvl w:val="0"/>
          <w:numId w:val="2"/>
        </w:numPr>
        <w:spacing w:after="0" w:line="360" w:lineRule="auto"/>
        <w:jc w:val="both"/>
      </w:pPr>
      <w:r>
        <w:rPr>
          <w:rFonts w:ascii="Arial" w:eastAsia="Arial" w:hAnsi="Arial" w:cs="Arial"/>
          <w:b/>
          <w:sz w:val="22"/>
          <w:szCs w:val="22"/>
        </w:rPr>
        <w:t>Art. 146 de la L</w:t>
      </w:r>
      <w:r>
        <w:rPr>
          <w:rFonts w:ascii="Arial" w:eastAsia="Arial" w:hAnsi="Arial" w:cs="Arial"/>
          <w:b/>
          <w:sz w:val="22"/>
          <w:szCs w:val="22"/>
        </w:rPr>
        <w:t>C</w:t>
      </w:r>
      <w:r>
        <w:rPr>
          <w:rFonts w:ascii="Arial" w:eastAsia="Arial" w:hAnsi="Arial" w:cs="Arial"/>
          <w:sz w:val="22"/>
          <w:szCs w:val="22"/>
        </w:rPr>
        <w:t xml:space="preserve"> establece requisitos para la oponibilidad del boleto de compraventa en quiebra:</w:t>
      </w:r>
    </w:p>
    <w:p w:rsidR="00287724" w:rsidRDefault="00916EC4">
      <w:pPr>
        <w:numPr>
          <w:ilvl w:val="1"/>
          <w:numId w:val="2"/>
        </w:numPr>
        <w:spacing w:after="0" w:line="360" w:lineRule="auto"/>
        <w:jc w:val="both"/>
        <w:rPr>
          <w:rFonts w:ascii="Arial" w:eastAsia="Arial" w:hAnsi="Arial" w:cs="Arial"/>
          <w:sz w:val="22"/>
          <w:szCs w:val="22"/>
        </w:rPr>
      </w:pPr>
      <w:r>
        <w:rPr>
          <w:rFonts w:ascii="Arial" w:eastAsia="Arial" w:hAnsi="Arial" w:cs="Arial"/>
          <w:sz w:val="22"/>
          <w:szCs w:val="22"/>
        </w:rPr>
        <w:t>Buena fe.</w:t>
      </w:r>
    </w:p>
    <w:p w:rsidR="00287724" w:rsidRDefault="00916EC4">
      <w:pPr>
        <w:numPr>
          <w:ilvl w:val="1"/>
          <w:numId w:val="2"/>
        </w:numPr>
        <w:spacing w:after="0" w:line="360" w:lineRule="auto"/>
        <w:jc w:val="both"/>
        <w:rPr>
          <w:rFonts w:ascii="Arial" w:eastAsia="Arial" w:hAnsi="Arial" w:cs="Arial"/>
          <w:sz w:val="22"/>
          <w:szCs w:val="22"/>
        </w:rPr>
      </w:pPr>
      <w:r>
        <w:rPr>
          <w:rFonts w:ascii="Arial" w:eastAsia="Arial" w:hAnsi="Arial" w:cs="Arial"/>
          <w:sz w:val="22"/>
          <w:szCs w:val="22"/>
        </w:rPr>
        <w:t>Pago del 25% del precio.</w:t>
      </w:r>
    </w:p>
    <w:p w:rsidR="00287724" w:rsidRDefault="00916EC4">
      <w:pPr>
        <w:numPr>
          <w:ilvl w:val="1"/>
          <w:numId w:val="2"/>
        </w:numPr>
        <w:spacing w:after="0" w:line="360" w:lineRule="auto"/>
        <w:jc w:val="both"/>
        <w:rPr>
          <w:rFonts w:ascii="Arial" w:eastAsia="Arial" w:hAnsi="Arial" w:cs="Arial"/>
          <w:sz w:val="22"/>
          <w:szCs w:val="22"/>
        </w:rPr>
      </w:pPr>
      <w:r>
        <w:rPr>
          <w:rFonts w:ascii="Arial" w:eastAsia="Arial" w:hAnsi="Arial" w:cs="Arial"/>
          <w:sz w:val="22"/>
          <w:szCs w:val="22"/>
        </w:rPr>
        <w:t>Escritura solo por orden judicial.</w:t>
      </w:r>
    </w:p>
    <w:p w:rsidR="00287724" w:rsidRDefault="00916EC4">
      <w:pPr>
        <w:numPr>
          <w:ilvl w:val="1"/>
          <w:numId w:val="2"/>
        </w:numPr>
        <w:spacing w:after="280" w:line="360" w:lineRule="auto"/>
        <w:jc w:val="both"/>
        <w:rPr>
          <w:rFonts w:ascii="Arial" w:eastAsia="Arial" w:hAnsi="Arial" w:cs="Arial"/>
          <w:sz w:val="22"/>
          <w:szCs w:val="22"/>
        </w:rPr>
      </w:pPr>
      <w:r>
        <w:rPr>
          <w:rFonts w:ascii="Arial" w:eastAsia="Arial" w:hAnsi="Arial" w:cs="Arial"/>
          <w:sz w:val="22"/>
          <w:szCs w:val="22"/>
        </w:rPr>
        <w:t>Si hay saldo a plazo, constitución de hipoteca en primer grado.</w:t>
      </w:r>
    </w:p>
    <w:p w:rsidR="00287724" w:rsidRDefault="00916EC4">
      <w:pPr>
        <w:spacing w:before="280" w:after="280" w:line="360" w:lineRule="auto"/>
        <w:jc w:val="both"/>
        <w:rPr>
          <w:rFonts w:ascii="Arial" w:eastAsia="Arial" w:hAnsi="Arial" w:cs="Arial"/>
          <w:sz w:val="22"/>
          <w:szCs w:val="22"/>
        </w:rPr>
      </w:pPr>
      <w:r>
        <w:rPr>
          <w:rFonts w:ascii="Quattrocento Sans" w:eastAsia="Quattrocento Sans" w:hAnsi="Quattrocento Sans" w:cs="Quattrocento Sans"/>
          <w:sz w:val="22"/>
          <w:szCs w:val="22"/>
        </w:rPr>
        <w:t xml:space="preserve">Nombrando los siguientes </w:t>
      </w:r>
      <w:r>
        <w:rPr>
          <w:rFonts w:ascii="Arial" w:eastAsia="Arial" w:hAnsi="Arial" w:cs="Arial"/>
          <w:sz w:val="22"/>
          <w:szCs w:val="22"/>
        </w:rPr>
        <w:t xml:space="preserve">Antecedentes: </w:t>
      </w:r>
    </w:p>
    <w:p w:rsidR="00287724" w:rsidRDefault="00916EC4">
      <w:pPr>
        <w:numPr>
          <w:ilvl w:val="0"/>
          <w:numId w:val="3"/>
        </w:numPr>
        <w:spacing w:before="280" w:after="0" w:line="360" w:lineRule="auto"/>
        <w:jc w:val="both"/>
      </w:pPr>
      <w:bookmarkStart w:id="9" w:name="_3o8zib9wv711" w:colFirst="0" w:colLast="0"/>
      <w:bookmarkEnd w:id="9"/>
      <w:r>
        <w:rPr>
          <w:rFonts w:ascii="Arial" w:eastAsia="Arial" w:hAnsi="Arial" w:cs="Arial"/>
          <w:b/>
          <w:sz w:val="22"/>
          <w:szCs w:val="22"/>
        </w:rPr>
        <w:t>Primer antecedente:</w:t>
      </w:r>
      <w:r>
        <w:rPr>
          <w:rFonts w:ascii="Arial" w:eastAsia="Arial" w:hAnsi="Arial" w:cs="Arial"/>
          <w:sz w:val="22"/>
          <w:szCs w:val="22"/>
        </w:rPr>
        <w:t xml:space="preserve"> “Lozzi c/Socha” (1967): rechazó escrituración al titular del boleto en quiebra del vendedor.</w:t>
      </w:r>
    </w:p>
    <w:p w:rsidR="00287724" w:rsidRDefault="00916EC4">
      <w:pPr>
        <w:numPr>
          <w:ilvl w:val="0"/>
          <w:numId w:val="3"/>
        </w:numPr>
        <w:spacing w:after="0" w:line="360" w:lineRule="auto"/>
        <w:jc w:val="both"/>
      </w:pPr>
      <w:r>
        <w:rPr>
          <w:rFonts w:ascii="Arial" w:eastAsia="Arial" w:hAnsi="Arial" w:cs="Arial"/>
          <w:b/>
          <w:sz w:val="22"/>
          <w:szCs w:val="22"/>
        </w:rPr>
        <w:t>Ley 17711 (art. 1185 bis Cód. Civil):</w:t>
      </w:r>
      <w:r>
        <w:rPr>
          <w:rFonts w:ascii="Arial" w:eastAsia="Arial" w:hAnsi="Arial" w:cs="Arial"/>
          <w:sz w:val="22"/>
          <w:szCs w:val="22"/>
        </w:rPr>
        <w:t xml:space="preserve"> introdujo la oponibilidad para adquirentes de buena fe que hubieran abonado el 25% del precio, con posibilidad de escriturar por orden judicial.</w:t>
      </w:r>
    </w:p>
    <w:p w:rsidR="00287724" w:rsidRDefault="00916EC4">
      <w:pPr>
        <w:numPr>
          <w:ilvl w:val="0"/>
          <w:numId w:val="3"/>
        </w:numPr>
        <w:spacing w:after="0" w:line="360" w:lineRule="auto"/>
        <w:jc w:val="both"/>
      </w:pPr>
      <w:r>
        <w:rPr>
          <w:rFonts w:ascii="Arial" w:eastAsia="Arial" w:hAnsi="Arial" w:cs="Arial"/>
          <w:b/>
          <w:sz w:val="22"/>
          <w:szCs w:val="22"/>
        </w:rPr>
        <w:t>Plenario “Zaguir” (1981):</w:t>
      </w:r>
      <w:r>
        <w:rPr>
          <w:rFonts w:ascii="Arial" w:eastAsia="Arial" w:hAnsi="Arial" w:cs="Arial"/>
          <w:sz w:val="22"/>
          <w:szCs w:val="22"/>
        </w:rPr>
        <w:t xml:space="preserve"> el 25% debía pagarse antes de la quiebra, sin importar la posesión.</w:t>
      </w:r>
    </w:p>
    <w:p w:rsidR="00287724" w:rsidRDefault="00916EC4">
      <w:pPr>
        <w:numPr>
          <w:ilvl w:val="0"/>
          <w:numId w:val="3"/>
        </w:numPr>
        <w:spacing w:after="0" w:line="360" w:lineRule="auto"/>
        <w:jc w:val="both"/>
      </w:pPr>
      <w:r>
        <w:rPr>
          <w:rFonts w:ascii="Arial" w:eastAsia="Arial" w:hAnsi="Arial" w:cs="Arial"/>
          <w:b/>
          <w:sz w:val="22"/>
          <w:szCs w:val="22"/>
        </w:rPr>
        <w:t>Fallo “Bevilacqu</w:t>
      </w:r>
      <w:r>
        <w:rPr>
          <w:rFonts w:ascii="Arial" w:eastAsia="Arial" w:hAnsi="Arial" w:cs="Arial"/>
          <w:b/>
          <w:sz w:val="22"/>
          <w:szCs w:val="22"/>
        </w:rPr>
        <w:t>a”</w:t>
      </w:r>
      <w:r>
        <w:rPr>
          <w:rFonts w:ascii="Arial" w:eastAsia="Arial" w:hAnsi="Arial" w:cs="Arial"/>
          <w:sz w:val="22"/>
          <w:szCs w:val="22"/>
        </w:rPr>
        <w:t>: boleto con pago total y tradición es oponible a la quiebra, incluso para cocheras.</w:t>
      </w:r>
    </w:p>
    <w:p w:rsidR="00287724" w:rsidRDefault="00916EC4">
      <w:pPr>
        <w:numPr>
          <w:ilvl w:val="0"/>
          <w:numId w:val="3"/>
        </w:numPr>
        <w:spacing w:after="280" w:line="360" w:lineRule="auto"/>
        <w:jc w:val="both"/>
      </w:pPr>
      <w:r>
        <w:rPr>
          <w:rFonts w:ascii="Arial" w:eastAsia="Arial" w:hAnsi="Arial" w:cs="Arial"/>
          <w:sz w:val="22"/>
          <w:szCs w:val="22"/>
        </w:rPr>
        <w:t xml:space="preserve">Se discutió históricamente sobre </w:t>
      </w:r>
      <w:r>
        <w:rPr>
          <w:rFonts w:ascii="Arial" w:eastAsia="Arial" w:hAnsi="Arial" w:cs="Arial"/>
          <w:b/>
          <w:sz w:val="22"/>
          <w:szCs w:val="22"/>
        </w:rPr>
        <w:t>destino a vivienda</w:t>
      </w:r>
      <w:r>
        <w:rPr>
          <w:rFonts w:ascii="Arial" w:eastAsia="Arial" w:hAnsi="Arial" w:cs="Arial"/>
          <w:sz w:val="22"/>
          <w:szCs w:val="22"/>
        </w:rPr>
        <w:t>, requisito dejado atrás por reformas posteriores.</w:t>
      </w:r>
    </w:p>
    <w:p w:rsidR="00287724" w:rsidRDefault="00916EC4">
      <w:pPr>
        <w:spacing w:before="280" w:after="280" w:line="360" w:lineRule="auto"/>
        <w:jc w:val="both"/>
        <w:rPr>
          <w:rFonts w:ascii="Arial" w:eastAsia="Arial" w:hAnsi="Arial" w:cs="Arial"/>
          <w:b/>
          <w:sz w:val="22"/>
          <w:szCs w:val="22"/>
        </w:rPr>
      </w:pPr>
      <w:r>
        <w:rPr>
          <w:rFonts w:ascii="Arial" w:eastAsia="Arial" w:hAnsi="Arial" w:cs="Arial"/>
          <w:b/>
          <w:sz w:val="22"/>
          <w:szCs w:val="22"/>
        </w:rPr>
        <w:t>Ley 24522 (art. 146) y armonización con el CCyCN.</w:t>
      </w:r>
    </w:p>
    <w:p w:rsidR="00287724" w:rsidRDefault="00916EC4">
      <w:pPr>
        <w:numPr>
          <w:ilvl w:val="0"/>
          <w:numId w:val="4"/>
        </w:numPr>
        <w:spacing w:before="280" w:after="0" w:line="360" w:lineRule="auto"/>
        <w:jc w:val="both"/>
      </w:pPr>
      <w:r>
        <w:rPr>
          <w:rFonts w:ascii="Arial" w:eastAsia="Arial" w:hAnsi="Arial" w:cs="Arial"/>
          <w:sz w:val="22"/>
          <w:szCs w:val="22"/>
        </w:rPr>
        <w:t>Amplió la protecc</w:t>
      </w:r>
      <w:r>
        <w:rPr>
          <w:rFonts w:ascii="Arial" w:eastAsia="Arial" w:hAnsi="Arial" w:cs="Arial"/>
          <w:sz w:val="22"/>
          <w:szCs w:val="22"/>
        </w:rPr>
        <w:t xml:space="preserve">ión a </w:t>
      </w:r>
      <w:r>
        <w:rPr>
          <w:rFonts w:ascii="Arial" w:eastAsia="Arial" w:hAnsi="Arial" w:cs="Arial"/>
          <w:b/>
          <w:sz w:val="22"/>
          <w:szCs w:val="22"/>
        </w:rPr>
        <w:t>cualquier inmueble</w:t>
      </w:r>
      <w:r>
        <w:rPr>
          <w:rFonts w:ascii="Arial" w:eastAsia="Arial" w:hAnsi="Arial" w:cs="Arial"/>
          <w:sz w:val="22"/>
          <w:szCs w:val="22"/>
        </w:rPr>
        <w:t>, sin limitarlo a vivienda.</w:t>
      </w:r>
    </w:p>
    <w:p w:rsidR="00287724" w:rsidRDefault="00916EC4">
      <w:pPr>
        <w:numPr>
          <w:ilvl w:val="0"/>
          <w:numId w:val="4"/>
        </w:numPr>
        <w:spacing w:after="0" w:line="360" w:lineRule="auto"/>
        <w:jc w:val="both"/>
      </w:pPr>
      <w:r>
        <w:rPr>
          <w:rFonts w:ascii="Arial" w:eastAsia="Arial" w:hAnsi="Arial" w:cs="Arial"/>
          <w:sz w:val="22"/>
          <w:szCs w:val="22"/>
        </w:rPr>
        <w:t xml:space="preserve">Incorporó como obligación la </w:t>
      </w:r>
      <w:r>
        <w:rPr>
          <w:rFonts w:ascii="Arial" w:eastAsia="Arial" w:hAnsi="Arial" w:cs="Arial"/>
          <w:b/>
          <w:sz w:val="22"/>
          <w:szCs w:val="22"/>
        </w:rPr>
        <w:t>hipoteca en primer grado</w:t>
      </w:r>
      <w:r>
        <w:rPr>
          <w:rFonts w:ascii="Arial" w:eastAsia="Arial" w:hAnsi="Arial" w:cs="Arial"/>
          <w:sz w:val="22"/>
          <w:szCs w:val="22"/>
        </w:rPr>
        <w:t xml:space="preserve"> si el saldo es a plazo.</w:t>
      </w:r>
    </w:p>
    <w:p w:rsidR="00287724" w:rsidRDefault="00916EC4">
      <w:pPr>
        <w:numPr>
          <w:ilvl w:val="0"/>
          <w:numId w:val="4"/>
        </w:numPr>
        <w:spacing w:after="0" w:line="360" w:lineRule="auto"/>
        <w:jc w:val="both"/>
      </w:pPr>
      <w:r>
        <w:rPr>
          <w:rFonts w:ascii="Arial" w:eastAsia="Arial" w:hAnsi="Arial" w:cs="Arial"/>
          <w:sz w:val="22"/>
          <w:szCs w:val="22"/>
        </w:rPr>
        <w:t>Reafirmó:</w:t>
      </w:r>
    </w:p>
    <w:p w:rsidR="00287724" w:rsidRDefault="00916EC4">
      <w:pPr>
        <w:numPr>
          <w:ilvl w:val="1"/>
          <w:numId w:val="4"/>
        </w:numPr>
        <w:spacing w:after="0" w:line="360" w:lineRule="auto"/>
        <w:jc w:val="both"/>
      </w:pPr>
      <w:r>
        <w:rPr>
          <w:rFonts w:ascii="Arial" w:eastAsia="Arial" w:hAnsi="Arial" w:cs="Arial"/>
          <w:sz w:val="22"/>
          <w:szCs w:val="22"/>
        </w:rPr>
        <w:t>Buena fe (art. 1918 y 1919 CCyCo.)</w:t>
      </w:r>
    </w:p>
    <w:p w:rsidR="00287724" w:rsidRDefault="00916EC4">
      <w:pPr>
        <w:numPr>
          <w:ilvl w:val="1"/>
          <w:numId w:val="4"/>
        </w:numPr>
        <w:spacing w:after="0" w:line="360" w:lineRule="auto"/>
        <w:jc w:val="both"/>
      </w:pPr>
      <w:r>
        <w:rPr>
          <w:rFonts w:ascii="Arial" w:eastAsia="Arial" w:hAnsi="Arial" w:cs="Arial"/>
          <w:sz w:val="22"/>
          <w:szCs w:val="22"/>
        </w:rPr>
        <w:t>Pago previo del 25%.</w:t>
      </w:r>
    </w:p>
    <w:p w:rsidR="00287724" w:rsidRDefault="00916EC4">
      <w:pPr>
        <w:numPr>
          <w:ilvl w:val="1"/>
          <w:numId w:val="4"/>
        </w:numPr>
        <w:spacing w:after="0" w:line="360" w:lineRule="auto"/>
        <w:jc w:val="both"/>
      </w:pPr>
      <w:r>
        <w:rPr>
          <w:rFonts w:ascii="Arial" w:eastAsia="Arial" w:hAnsi="Arial" w:cs="Arial"/>
          <w:sz w:val="22"/>
          <w:szCs w:val="22"/>
        </w:rPr>
        <w:t>Escritura solo por orden judicial.</w:t>
      </w:r>
    </w:p>
    <w:p w:rsidR="00287724" w:rsidRDefault="00916EC4">
      <w:pPr>
        <w:numPr>
          <w:ilvl w:val="0"/>
          <w:numId w:val="4"/>
        </w:numPr>
        <w:spacing w:after="280" w:line="360" w:lineRule="auto"/>
        <w:jc w:val="both"/>
      </w:pPr>
      <w:r>
        <w:rPr>
          <w:rFonts w:ascii="Arial" w:eastAsia="Arial" w:hAnsi="Arial" w:cs="Arial"/>
          <w:b/>
          <w:sz w:val="22"/>
          <w:szCs w:val="22"/>
        </w:rPr>
        <w:t>No exige fecha cierta</w:t>
      </w:r>
      <w:r>
        <w:rPr>
          <w:rFonts w:ascii="Arial" w:eastAsia="Arial" w:hAnsi="Arial" w:cs="Arial"/>
          <w:sz w:val="22"/>
          <w:szCs w:val="22"/>
        </w:rPr>
        <w:t xml:space="preserve"> en </w:t>
      </w:r>
      <w:r>
        <w:rPr>
          <w:rFonts w:ascii="Arial" w:eastAsia="Arial" w:hAnsi="Arial" w:cs="Arial"/>
          <w:sz w:val="22"/>
          <w:szCs w:val="22"/>
        </w:rPr>
        <w:t>la norma, pero la jurisprudencia (plenario “Fernández, Ángel c/Coviram”) sí lo hace.</w:t>
      </w:r>
    </w:p>
    <w:p w:rsidR="00287724" w:rsidRDefault="00916EC4">
      <w:pPr>
        <w:spacing w:before="280" w:after="280" w:line="360" w:lineRule="auto"/>
        <w:jc w:val="both"/>
        <w:rPr>
          <w:rFonts w:ascii="Arial" w:eastAsia="Arial" w:hAnsi="Arial" w:cs="Arial"/>
          <w:b/>
          <w:sz w:val="22"/>
          <w:szCs w:val="22"/>
        </w:rPr>
      </w:pPr>
      <w:r>
        <w:rPr>
          <w:rFonts w:ascii="Arial" w:eastAsia="Arial" w:hAnsi="Arial" w:cs="Arial"/>
          <w:b/>
          <w:sz w:val="22"/>
          <w:szCs w:val="22"/>
        </w:rPr>
        <w:t>Condiciones de oponibilidad (jurisprudencia y doctrina)</w:t>
      </w:r>
    </w:p>
    <w:p w:rsidR="00287724" w:rsidRDefault="00916EC4">
      <w:pPr>
        <w:numPr>
          <w:ilvl w:val="0"/>
          <w:numId w:val="5"/>
        </w:numPr>
        <w:spacing w:before="280" w:after="0" w:line="360" w:lineRule="auto"/>
        <w:jc w:val="both"/>
        <w:rPr>
          <w:rFonts w:ascii="Arial" w:eastAsia="Arial" w:hAnsi="Arial" w:cs="Arial"/>
          <w:sz w:val="22"/>
          <w:szCs w:val="22"/>
        </w:rPr>
      </w:pPr>
      <w:r>
        <w:rPr>
          <w:rFonts w:ascii="Arial" w:eastAsia="Arial" w:hAnsi="Arial" w:cs="Arial"/>
          <w:b/>
          <w:sz w:val="22"/>
          <w:szCs w:val="22"/>
        </w:rPr>
        <w:t>Fecha cierta</w:t>
      </w:r>
      <w:r>
        <w:rPr>
          <w:rFonts w:ascii="Arial" w:eastAsia="Arial" w:hAnsi="Arial" w:cs="Arial"/>
          <w:sz w:val="22"/>
          <w:szCs w:val="22"/>
        </w:rPr>
        <w:t xml:space="preserve"> o certidumbre fáctica de existencia previa al embargo/concurso.</w:t>
      </w:r>
    </w:p>
    <w:p w:rsidR="00287724" w:rsidRDefault="00916EC4">
      <w:pPr>
        <w:numPr>
          <w:ilvl w:val="0"/>
          <w:numId w:val="5"/>
        </w:numPr>
        <w:spacing w:after="0" w:line="360" w:lineRule="auto"/>
        <w:jc w:val="both"/>
        <w:rPr>
          <w:rFonts w:ascii="Arial" w:eastAsia="Arial" w:hAnsi="Arial" w:cs="Arial"/>
          <w:sz w:val="22"/>
          <w:szCs w:val="22"/>
        </w:rPr>
      </w:pPr>
      <w:r>
        <w:rPr>
          <w:rFonts w:ascii="Arial" w:eastAsia="Arial" w:hAnsi="Arial" w:cs="Arial"/>
          <w:b/>
          <w:sz w:val="22"/>
          <w:szCs w:val="22"/>
        </w:rPr>
        <w:t>Publicidad posesoria o registral:</w:t>
      </w:r>
      <w:r>
        <w:rPr>
          <w:rFonts w:ascii="Arial" w:eastAsia="Arial" w:hAnsi="Arial" w:cs="Arial"/>
          <w:sz w:val="22"/>
          <w:szCs w:val="22"/>
        </w:rPr>
        <w:t xml:space="preserve"> no e</w:t>
      </w:r>
      <w:r>
        <w:rPr>
          <w:rFonts w:ascii="Arial" w:eastAsia="Arial" w:hAnsi="Arial" w:cs="Arial"/>
          <w:sz w:val="22"/>
          <w:szCs w:val="22"/>
        </w:rPr>
        <w:t>ra indispensable legalmente, pero aporta mayor certidumbre.</w:t>
      </w:r>
    </w:p>
    <w:p w:rsidR="00287724" w:rsidRDefault="00916EC4">
      <w:pPr>
        <w:numPr>
          <w:ilvl w:val="0"/>
          <w:numId w:val="5"/>
        </w:numPr>
        <w:spacing w:after="0" w:line="360" w:lineRule="auto"/>
        <w:jc w:val="both"/>
        <w:rPr>
          <w:rFonts w:ascii="Arial" w:eastAsia="Arial" w:hAnsi="Arial" w:cs="Arial"/>
          <w:sz w:val="22"/>
          <w:szCs w:val="22"/>
        </w:rPr>
      </w:pPr>
      <w:r>
        <w:rPr>
          <w:rFonts w:ascii="Arial" w:eastAsia="Arial" w:hAnsi="Arial" w:cs="Arial"/>
          <w:b/>
          <w:sz w:val="22"/>
          <w:szCs w:val="22"/>
        </w:rPr>
        <w:t>Cadena perfecta de titularidad</w:t>
      </w:r>
      <w:r>
        <w:rPr>
          <w:rFonts w:ascii="Arial" w:eastAsia="Arial" w:hAnsi="Arial" w:cs="Arial"/>
          <w:sz w:val="22"/>
          <w:szCs w:val="22"/>
        </w:rPr>
        <w:t xml:space="preserve"> (sucesión de boletos válidos entre sucesivos adquirentes).</w:t>
      </w:r>
    </w:p>
    <w:p w:rsidR="00287724" w:rsidRDefault="00916EC4">
      <w:pPr>
        <w:numPr>
          <w:ilvl w:val="0"/>
          <w:numId w:val="5"/>
        </w:numPr>
        <w:spacing w:after="0" w:line="360" w:lineRule="auto"/>
        <w:jc w:val="both"/>
        <w:rPr>
          <w:rFonts w:ascii="Arial" w:eastAsia="Arial" w:hAnsi="Arial" w:cs="Arial"/>
          <w:sz w:val="22"/>
          <w:szCs w:val="22"/>
        </w:rPr>
      </w:pPr>
      <w:r>
        <w:rPr>
          <w:rFonts w:ascii="Arial" w:eastAsia="Arial" w:hAnsi="Arial" w:cs="Arial"/>
          <w:b/>
          <w:sz w:val="22"/>
          <w:szCs w:val="22"/>
        </w:rPr>
        <w:t>Buena fe</w:t>
      </w:r>
      <w:r>
        <w:rPr>
          <w:rFonts w:ascii="Arial" w:eastAsia="Arial" w:hAnsi="Arial" w:cs="Arial"/>
          <w:sz w:val="22"/>
          <w:szCs w:val="22"/>
        </w:rPr>
        <w:t xml:space="preserve"> del comprador.</w:t>
      </w:r>
    </w:p>
    <w:p w:rsidR="00287724" w:rsidRDefault="00916EC4">
      <w:pPr>
        <w:numPr>
          <w:ilvl w:val="0"/>
          <w:numId w:val="5"/>
        </w:numPr>
        <w:spacing w:after="280" w:line="360" w:lineRule="auto"/>
        <w:jc w:val="both"/>
        <w:rPr>
          <w:rFonts w:ascii="Arial" w:eastAsia="Arial" w:hAnsi="Arial" w:cs="Arial"/>
          <w:sz w:val="22"/>
          <w:szCs w:val="22"/>
        </w:rPr>
      </w:pPr>
      <w:r>
        <w:rPr>
          <w:rFonts w:ascii="Arial" w:eastAsia="Arial" w:hAnsi="Arial" w:cs="Arial"/>
          <w:b/>
          <w:sz w:val="22"/>
          <w:szCs w:val="22"/>
        </w:rPr>
        <w:t>Pago del 25% del precio antes de la quiebra o embargo</w:t>
      </w:r>
      <w:r>
        <w:rPr>
          <w:rFonts w:ascii="Arial" w:eastAsia="Arial" w:hAnsi="Arial" w:cs="Arial"/>
          <w:sz w:val="22"/>
          <w:szCs w:val="22"/>
        </w:rPr>
        <w:t>.</w:t>
      </w:r>
    </w:p>
    <w:p w:rsidR="00287724" w:rsidRDefault="00916EC4">
      <w:pPr>
        <w:spacing w:before="280" w:after="280" w:line="360" w:lineRule="auto"/>
        <w:jc w:val="both"/>
        <w:rPr>
          <w:rFonts w:ascii="Arial" w:eastAsia="Arial" w:hAnsi="Arial" w:cs="Arial"/>
          <w:b/>
          <w:sz w:val="22"/>
          <w:szCs w:val="22"/>
        </w:rPr>
      </w:pPr>
      <w:r>
        <w:rPr>
          <w:rFonts w:ascii="Arial" w:eastAsia="Arial" w:hAnsi="Arial" w:cs="Arial"/>
          <w:b/>
          <w:sz w:val="22"/>
          <w:szCs w:val="22"/>
        </w:rPr>
        <w:t xml:space="preserve"> Fecha cierta y CCyCN.</w:t>
      </w:r>
    </w:p>
    <w:p w:rsidR="00287724" w:rsidRDefault="00916EC4">
      <w:pPr>
        <w:numPr>
          <w:ilvl w:val="0"/>
          <w:numId w:val="6"/>
        </w:numPr>
        <w:spacing w:before="280" w:after="0" w:line="360" w:lineRule="auto"/>
        <w:jc w:val="both"/>
      </w:pPr>
      <w:r>
        <w:rPr>
          <w:rFonts w:ascii="Arial" w:eastAsia="Arial" w:hAnsi="Arial" w:cs="Arial"/>
          <w:b/>
          <w:sz w:val="22"/>
          <w:szCs w:val="22"/>
        </w:rPr>
        <w:t>Art. 317 CCyCN.</w:t>
      </w:r>
      <w:r>
        <w:rPr>
          <w:rFonts w:ascii="Arial" w:eastAsia="Arial" w:hAnsi="Arial" w:cs="Arial"/>
          <w:sz w:val="22"/>
          <w:szCs w:val="22"/>
        </w:rPr>
        <w:t xml:space="preserve"> regula los casos de fecha cierta, superando las enumeraciones taxativas del antiguo art. 1035 Cód. Civil.</w:t>
      </w:r>
    </w:p>
    <w:p w:rsidR="00287724" w:rsidRDefault="00916EC4">
      <w:pPr>
        <w:numPr>
          <w:ilvl w:val="0"/>
          <w:numId w:val="6"/>
        </w:numPr>
        <w:spacing w:after="280" w:line="360" w:lineRule="auto"/>
        <w:jc w:val="both"/>
      </w:pPr>
      <w:r>
        <w:rPr>
          <w:rFonts w:ascii="Arial" w:eastAsia="Arial" w:hAnsi="Arial" w:cs="Arial"/>
          <w:sz w:val="22"/>
          <w:szCs w:val="22"/>
        </w:rPr>
        <w:t xml:space="preserve">Admite </w:t>
      </w:r>
      <w:r>
        <w:rPr>
          <w:rFonts w:ascii="Arial" w:eastAsia="Arial" w:hAnsi="Arial" w:cs="Arial"/>
          <w:b/>
          <w:sz w:val="22"/>
          <w:szCs w:val="22"/>
        </w:rPr>
        <w:t>otros medios probatorios inequívocos</w:t>
      </w:r>
      <w:r>
        <w:rPr>
          <w:rFonts w:ascii="Arial" w:eastAsia="Arial" w:hAnsi="Arial" w:cs="Arial"/>
          <w:sz w:val="22"/>
          <w:szCs w:val="22"/>
        </w:rPr>
        <w:t xml:space="preserve"> que acrediten fecha cierta.</w:t>
      </w:r>
    </w:p>
    <w:p w:rsidR="00287724" w:rsidRDefault="00916EC4">
      <w:pPr>
        <w:spacing w:before="280" w:after="280" w:line="360" w:lineRule="auto"/>
        <w:jc w:val="both"/>
        <w:rPr>
          <w:rFonts w:ascii="Arial" w:eastAsia="Arial" w:hAnsi="Arial" w:cs="Arial"/>
          <w:sz w:val="22"/>
          <w:szCs w:val="22"/>
        </w:rPr>
      </w:pPr>
      <w:r>
        <w:rPr>
          <w:rFonts w:ascii="Arial" w:eastAsia="Arial" w:hAnsi="Arial" w:cs="Arial"/>
          <w:sz w:val="22"/>
          <w:szCs w:val="22"/>
        </w:rPr>
        <w:t>Siendo que hoy conviven normas de la LCQ y CCC, armonizadas po</w:t>
      </w:r>
      <w:r>
        <w:rPr>
          <w:rFonts w:ascii="Arial" w:eastAsia="Arial" w:hAnsi="Arial" w:cs="Arial"/>
          <w:sz w:val="22"/>
          <w:szCs w:val="22"/>
        </w:rPr>
        <w:t>r jurisprudencia.</w:t>
      </w:r>
    </w:p>
    <w:p w:rsidR="00287724" w:rsidRDefault="00916EC4">
      <w:pPr>
        <w:numPr>
          <w:ilvl w:val="0"/>
          <w:numId w:val="7"/>
        </w:numPr>
        <w:spacing w:before="280" w:after="0" w:line="360" w:lineRule="auto"/>
        <w:jc w:val="both"/>
      </w:pPr>
      <w:r>
        <w:rPr>
          <w:rFonts w:ascii="Arial" w:eastAsia="Arial" w:hAnsi="Arial" w:cs="Arial"/>
          <w:sz w:val="22"/>
          <w:szCs w:val="22"/>
        </w:rPr>
        <w:t>La doctrina y jurisprudencia insisten en:</w:t>
      </w:r>
    </w:p>
    <w:p w:rsidR="00287724" w:rsidRDefault="00916EC4">
      <w:pPr>
        <w:numPr>
          <w:ilvl w:val="1"/>
          <w:numId w:val="7"/>
        </w:numPr>
        <w:spacing w:after="0" w:line="360" w:lineRule="auto"/>
        <w:jc w:val="both"/>
      </w:pPr>
      <w:r>
        <w:rPr>
          <w:rFonts w:ascii="Arial" w:eastAsia="Arial" w:hAnsi="Arial" w:cs="Arial"/>
          <w:b/>
          <w:sz w:val="22"/>
          <w:szCs w:val="22"/>
        </w:rPr>
        <w:t>Buena fe.</w:t>
      </w:r>
    </w:p>
    <w:p w:rsidR="00287724" w:rsidRDefault="00916EC4">
      <w:pPr>
        <w:numPr>
          <w:ilvl w:val="1"/>
          <w:numId w:val="7"/>
        </w:numPr>
        <w:spacing w:after="0" w:line="360" w:lineRule="auto"/>
        <w:jc w:val="both"/>
      </w:pPr>
      <w:r>
        <w:rPr>
          <w:rFonts w:ascii="Arial" w:eastAsia="Arial" w:hAnsi="Arial" w:cs="Arial"/>
          <w:b/>
          <w:sz w:val="22"/>
          <w:szCs w:val="22"/>
        </w:rPr>
        <w:t>Pago previo del 25%.</w:t>
      </w:r>
    </w:p>
    <w:p w:rsidR="00287724" w:rsidRDefault="00916EC4">
      <w:pPr>
        <w:numPr>
          <w:ilvl w:val="1"/>
          <w:numId w:val="7"/>
        </w:numPr>
        <w:spacing w:after="0" w:line="360" w:lineRule="auto"/>
        <w:jc w:val="both"/>
      </w:pPr>
      <w:r>
        <w:rPr>
          <w:rFonts w:ascii="Arial" w:eastAsia="Arial" w:hAnsi="Arial" w:cs="Arial"/>
          <w:b/>
          <w:sz w:val="22"/>
          <w:szCs w:val="22"/>
        </w:rPr>
        <w:t>Fecha cierta.</w:t>
      </w:r>
    </w:p>
    <w:p w:rsidR="00287724" w:rsidRDefault="00916EC4">
      <w:pPr>
        <w:numPr>
          <w:ilvl w:val="1"/>
          <w:numId w:val="7"/>
        </w:numPr>
        <w:spacing w:after="0" w:line="360" w:lineRule="auto"/>
        <w:jc w:val="both"/>
      </w:pPr>
      <w:r>
        <w:rPr>
          <w:rFonts w:ascii="Arial" w:eastAsia="Arial" w:hAnsi="Arial" w:cs="Arial"/>
          <w:b/>
          <w:sz w:val="22"/>
          <w:szCs w:val="22"/>
        </w:rPr>
        <w:t>Publicidad posesoria o registral como valor agregado.</w:t>
      </w:r>
    </w:p>
    <w:p w:rsidR="00287724" w:rsidRDefault="00916EC4">
      <w:pPr>
        <w:numPr>
          <w:ilvl w:val="0"/>
          <w:numId w:val="7"/>
        </w:numPr>
        <w:spacing w:after="280" w:line="360" w:lineRule="auto"/>
        <w:jc w:val="both"/>
      </w:pPr>
      <w:r>
        <w:rPr>
          <w:rFonts w:ascii="Arial" w:eastAsia="Arial" w:hAnsi="Arial" w:cs="Arial"/>
          <w:sz w:val="22"/>
          <w:szCs w:val="22"/>
        </w:rPr>
        <w:t xml:space="preserve">La tendencia es a </w:t>
      </w:r>
      <w:r>
        <w:rPr>
          <w:rFonts w:ascii="Arial" w:eastAsia="Arial" w:hAnsi="Arial" w:cs="Arial"/>
          <w:b/>
          <w:sz w:val="22"/>
          <w:szCs w:val="22"/>
        </w:rPr>
        <w:t>favorecer al adquirente cumplidor</w:t>
      </w:r>
      <w:r>
        <w:rPr>
          <w:rFonts w:ascii="Arial" w:eastAsia="Arial" w:hAnsi="Arial" w:cs="Arial"/>
          <w:sz w:val="22"/>
          <w:szCs w:val="22"/>
        </w:rPr>
        <w:t>, preservando el interés de los acreedores, limitando fraudes y con mayor previsibilidad normativa.</w:t>
      </w:r>
    </w:p>
    <w:p w:rsidR="00287724" w:rsidRDefault="00916EC4">
      <w:pPr>
        <w:spacing w:before="280" w:after="280" w:line="360" w:lineRule="auto"/>
        <w:jc w:val="both"/>
        <w:rPr>
          <w:rFonts w:ascii="Arial" w:eastAsia="Arial" w:hAnsi="Arial" w:cs="Arial"/>
          <w:sz w:val="22"/>
          <w:szCs w:val="22"/>
        </w:rPr>
      </w:pPr>
      <w:r>
        <w:rPr>
          <w:rFonts w:ascii="Arial" w:eastAsia="Arial" w:hAnsi="Arial" w:cs="Arial"/>
          <w:b/>
          <w:sz w:val="22"/>
          <w:szCs w:val="22"/>
        </w:rPr>
        <w:t>Propuesta:</w:t>
      </w:r>
    </w:p>
    <w:p w:rsidR="00287724" w:rsidRDefault="00916EC4">
      <w:pPr>
        <w:numPr>
          <w:ilvl w:val="0"/>
          <w:numId w:val="11"/>
        </w:numPr>
        <w:spacing w:before="280" w:after="280" w:line="360" w:lineRule="auto"/>
        <w:jc w:val="both"/>
      </w:pPr>
      <w:r>
        <w:rPr>
          <w:rFonts w:ascii="Arial" w:eastAsia="Arial" w:hAnsi="Arial" w:cs="Arial"/>
          <w:sz w:val="22"/>
          <w:szCs w:val="22"/>
        </w:rPr>
        <w:t xml:space="preserve">Recomendar </w:t>
      </w:r>
      <w:r>
        <w:rPr>
          <w:rFonts w:ascii="Arial" w:eastAsia="Arial" w:hAnsi="Arial" w:cs="Arial"/>
          <w:b/>
          <w:sz w:val="22"/>
          <w:szCs w:val="22"/>
        </w:rPr>
        <w:t xml:space="preserve">rechazar la verificación </w:t>
      </w:r>
    </w:p>
    <w:p w:rsidR="00287724" w:rsidRDefault="00916EC4">
      <w:pPr>
        <w:spacing w:before="280" w:after="280" w:line="360" w:lineRule="auto"/>
        <w:rPr>
          <w:rFonts w:ascii="Arial" w:eastAsia="Arial" w:hAnsi="Arial" w:cs="Arial"/>
          <w:b/>
          <w:sz w:val="22"/>
          <w:szCs w:val="22"/>
        </w:rPr>
      </w:pPr>
      <w:r>
        <w:rPr>
          <w:rFonts w:ascii="Arial" w:eastAsia="Arial" w:hAnsi="Arial" w:cs="Arial"/>
          <w:b/>
          <w:sz w:val="22"/>
          <w:szCs w:val="22"/>
        </w:rPr>
        <w:t>Fundamento doctrinario:</w:t>
      </w:r>
    </w:p>
    <w:p w:rsidR="00287724" w:rsidRDefault="00916EC4">
      <w:pPr>
        <w:numPr>
          <w:ilvl w:val="0"/>
          <w:numId w:val="3"/>
        </w:numPr>
        <w:pBdr>
          <w:top w:val="nil"/>
          <w:left w:val="nil"/>
          <w:bottom w:val="nil"/>
          <w:right w:val="nil"/>
          <w:between w:val="nil"/>
        </w:pBdr>
        <w:spacing w:before="280" w:after="0" w:line="360" w:lineRule="auto"/>
        <w:rPr>
          <w:color w:val="000000"/>
        </w:rPr>
      </w:pPr>
      <w:r>
        <w:rPr>
          <w:rFonts w:ascii="Arial" w:eastAsia="Arial" w:hAnsi="Arial" w:cs="Arial"/>
          <w:b/>
          <w:color w:val="000000"/>
          <w:sz w:val="22"/>
          <w:szCs w:val="22"/>
        </w:rPr>
        <w:t>Primer antecedente:</w:t>
      </w:r>
      <w:r>
        <w:rPr>
          <w:rFonts w:ascii="Arial" w:eastAsia="Arial" w:hAnsi="Arial" w:cs="Arial"/>
          <w:color w:val="000000"/>
          <w:sz w:val="22"/>
          <w:szCs w:val="22"/>
        </w:rPr>
        <w:t xml:space="preserve"> “Lozzi c/Socha” (1967): rechazó escrituración al titular del boleto en quiebra del vendedor.</w:t>
      </w:r>
    </w:p>
    <w:p w:rsidR="00287724" w:rsidRDefault="00916EC4">
      <w:pPr>
        <w:numPr>
          <w:ilvl w:val="0"/>
          <w:numId w:val="3"/>
        </w:numPr>
        <w:spacing w:after="0" w:line="360" w:lineRule="auto"/>
        <w:jc w:val="both"/>
      </w:pPr>
      <w:r>
        <w:rPr>
          <w:rFonts w:ascii="Arial" w:eastAsia="Arial" w:hAnsi="Arial" w:cs="Arial"/>
          <w:b/>
          <w:sz w:val="22"/>
          <w:szCs w:val="22"/>
        </w:rPr>
        <w:t>Plenario “Zaguir” (1981):</w:t>
      </w:r>
      <w:r>
        <w:rPr>
          <w:rFonts w:ascii="Arial" w:eastAsia="Arial" w:hAnsi="Arial" w:cs="Arial"/>
          <w:sz w:val="22"/>
          <w:szCs w:val="22"/>
        </w:rPr>
        <w:t xml:space="preserve"> el 25% debía pagarse antes de la quiebra, sin importar la posesión.</w:t>
      </w:r>
    </w:p>
    <w:p w:rsidR="00287724" w:rsidRDefault="00916EC4">
      <w:pPr>
        <w:numPr>
          <w:ilvl w:val="0"/>
          <w:numId w:val="3"/>
        </w:numPr>
        <w:spacing w:after="0" w:line="360" w:lineRule="auto"/>
        <w:jc w:val="both"/>
      </w:pPr>
      <w:r>
        <w:rPr>
          <w:rFonts w:ascii="Arial" w:eastAsia="Arial" w:hAnsi="Arial" w:cs="Arial"/>
          <w:b/>
          <w:sz w:val="22"/>
          <w:szCs w:val="22"/>
        </w:rPr>
        <w:t>Fallo “Bevilacqua”</w:t>
      </w:r>
      <w:r>
        <w:rPr>
          <w:rFonts w:ascii="Arial" w:eastAsia="Arial" w:hAnsi="Arial" w:cs="Arial"/>
          <w:sz w:val="22"/>
          <w:szCs w:val="22"/>
        </w:rPr>
        <w:t xml:space="preserve">: boleto con pago total y tradición es oponible a </w:t>
      </w:r>
      <w:r>
        <w:rPr>
          <w:rFonts w:ascii="Arial" w:eastAsia="Arial" w:hAnsi="Arial" w:cs="Arial"/>
          <w:sz w:val="22"/>
          <w:szCs w:val="22"/>
        </w:rPr>
        <w:t>la quiebra, incluso para cocheras.</w:t>
      </w:r>
    </w:p>
    <w:p w:rsidR="00287724" w:rsidRDefault="00916EC4">
      <w:pPr>
        <w:numPr>
          <w:ilvl w:val="0"/>
          <w:numId w:val="3"/>
        </w:numPr>
        <w:spacing w:after="280" w:line="360" w:lineRule="auto"/>
        <w:jc w:val="both"/>
        <w:rPr>
          <w:b/>
        </w:rPr>
      </w:pPr>
      <w:r>
        <w:rPr>
          <w:rFonts w:ascii="Arial" w:eastAsia="Arial" w:hAnsi="Arial" w:cs="Arial"/>
          <w:b/>
          <w:sz w:val="22"/>
          <w:szCs w:val="22"/>
        </w:rPr>
        <w:t xml:space="preserve">Art. 1171 CCC: </w:t>
      </w:r>
      <w:r>
        <w:rPr>
          <w:rFonts w:ascii="Arial" w:eastAsia="Arial" w:hAnsi="Arial" w:cs="Arial"/>
          <w:sz w:val="22"/>
          <w:szCs w:val="22"/>
        </w:rPr>
        <w:t>El cual establece que los boletos de compraventa de inmuebles de fecha cierta otorgados a favor del adquiriente de buena fe son oponibles al concurso o la quiebra del vendedor si se hubiera abonado como mín</w:t>
      </w:r>
      <w:r>
        <w:rPr>
          <w:rFonts w:ascii="Arial" w:eastAsia="Arial" w:hAnsi="Arial" w:cs="Arial"/>
          <w:sz w:val="22"/>
          <w:szCs w:val="22"/>
        </w:rPr>
        <w:t xml:space="preserve">imo el 25% del precio del bien. </w:t>
      </w:r>
    </w:p>
    <w:p w:rsidR="00287724" w:rsidRDefault="00287724">
      <w:pPr>
        <w:spacing w:before="280" w:after="280" w:line="360" w:lineRule="auto"/>
        <w:jc w:val="both"/>
        <w:rPr>
          <w:rFonts w:ascii="Arial" w:eastAsia="Arial" w:hAnsi="Arial" w:cs="Arial"/>
          <w:b/>
          <w:sz w:val="22"/>
          <w:szCs w:val="22"/>
        </w:rPr>
      </w:pPr>
    </w:p>
    <w:p w:rsidR="00287724" w:rsidRDefault="00916EC4">
      <w:pPr>
        <w:spacing w:before="280" w:after="280" w:line="240" w:lineRule="auto"/>
        <w:jc w:val="right"/>
        <w:rPr>
          <w:rFonts w:ascii="Arial" w:eastAsia="Arial" w:hAnsi="Arial" w:cs="Arial"/>
          <w:b/>
          <w:sz w:val="22"/>
          <w:szCs w:val="22"/>
        </w:rPr>
      </w:pPr>
      <w:r>
        <w:rPr>
          <w:rFonts w:ascii="Arial" w:eastAsia="Arial" w:hAnsi="Arial" w:cs="Arial"/>
          <w:sz w:val="22"/>
          <w:szCs w:val="22"/>
        </w:rPr>
        <w:t>Proveer de conformidad,</w:t>
      </w:r>
      <w:r>
        <w:rPr>
          <w:rFonts w:ascii="Arial" w:eastAsia="Arial" w:hAnsi="Arial" w:cs="Arial"/>
          <w:sz w:val="22"/>
          <w:szCs w:val="22"/>
        </w:rPr>
        <w:br/>
      </w:r>
      <w:r>
        <w:rPr>
          <w:rFonts w:ascii="Arial" w:eastAsia="Arial" w:hAnsi="Arial" w:cs="Arial"/>
          <w:b/>
          <w:sz w:val="22"/>
          <w:szCs w:val="22"/>
        </w:rPr>
        <w:t>SERÁ JUSTICIA.</w:t>
      </w:r>
    </w:p>
    <w:p w:rsidR="00287724" w:rsidRDefault="00287724">
      <w:pPr>
        <w:spacing w:before="280" w:after="280" w:line="240" w:lineRule="auto"/>
        <w:jc w:val="both"/>
        <w:rPr>
          <w:rFonts w:ascii="Arial" w:eastAsia="Arial" w:hAnsi="Arial" w:cs="Arial"/>
          <w:sz w:val="22"/>
          <w:szCs w:val="22"/>
        </w:rPr>
      </w:pPr>
    </w:p>
    <w:p w:rsidR="00287724" w:rsidRDefault="00916EC4">
      <w:pPr>
        <w:rPr>
          <w:rFonts w:ascii="Arial" w:eastAsia="Arial" w:hAnsi="Arial" w:cs="Arial"/>
          <w:b/>
          <w:sz w:val="22"/>
          <w:szCs w:val="22"/>
          <w:u w:val="single"/>
        </w:rPr>
      </w:pPr>
      <w:r>
        <w:br w:type="page"/>
      </w:r>
    </w:p>
    <w:p w:rsidR="00287724" w:rsidRDefault="00916EC4">
      <w:pPr>
        <w:spacing w:after="0" w:line="360" w:lineRule="auto"/>
        <w:jc w:val="both"/>
        <w:rPr>
          <w:rFonts w:ascii="Arial" w:eastAsia="Arial" w:hAnsi="Arial" w:cs="Arial"/>
          <w:b/>
          <w:sz w:val="22"/>
          <w:szCs w:val="22"/>
          <w:u w:val="single"/>
        </w:rPr>
      </w:pPr>
      <w:r>
        <w:rPr>
          <w:rFonts w:ascii="Arial" w:eastAsia="Arial" w:hAnsi="Arial" w:cs="Arial"/>
          <w:b/>
          <w:sz w:val="22"/>
          <w:szCs w:val="22"/>
          <w:u w:val="single"/>
        </w:rPr>
        <w:t>Tercera cuestión</w:t>
      </w:r>
    </w:p>
    <w:p w:rsidR="00287724" w:rsidRDefault="00287724">
      <w:pPr>
        <w:spacing w:after="0" w:line="360" w:lineRule="auto"/>
        <w:jc w:val="both"/>
        <w:rPr>
          <w:rFonts w:ascii="Arial" w:eastAsia="Arial" w:hAnsi="Arial" w:cs="Arial"/>
          <w:sz w:val="22"/>
          <w:szCs w:val="22"/>
        </w:rPr>
      </w:pPr>
    </w:p>
    <w:p w:rsidR="00287724" w:rsidRDefault="00916EC4">
      <w:pPr>
        <w:spacing w:after="0" w:line="360" w:lineRule="auto"/>
        <w:jc w:val="both"/>
        <w:rPr>
          <w:rFonts w:ascii="Arial" w:eastAsia="Arial" w:hAnsi="Arial" w:cs="Arial"/>
          <w:sz w:val="22"/>
          <w:szCs w:val="22"/>
        </w:rPr>
      </w:pPr>
      <w:r>
        <w:rPr>
          <w:rFonts w:ascii="Arial" w:eastAsia="Arial" w:hAnsi="Arial" w:cs="Arial"/>
          <w:sz w:val="22"/>
          <w:szCs w:val="22"/>
        </w:rPr>
        <w:t>Oportunamente se verificaron los créditos de doce acreedores. Diez de esos acreedores prestaron conformidad para el avenimiento, en legal forma. A su vez, un tercero se presenta en el expediente, manifestando que pagó los créditos de los restantes dos acre</w:t>
      </w:r>
      <w:r>
        <w:rPr>
          <w:rFonts w:ascii="Arial" w:eastAsia="Arial" w:hAnsi="Arial" w:cs="Arial"/>
          <w:sz w:val="22"/>
          <w:szCs w:val="22"/>
        </w:rPr>
        <w:t xml:space="preserve">edores, acompañando recibos y prestando también avenimiento para la conclusión. Se le corre vista a los dos acreedores en cuestión, quienes manifiestan que efectivamente han sido desinteresados por este tercero, ahora devenido en acreedor por subrogación. </w:t>
      </w:r>
      <w:r>
        <w:rPr>
          <w:rFonts w:ascii="Arial" w:eastAsia="Arial" w:hAnsi="Arial" w:cs="Arial"/>
          <w:sz w:val="22"/>
          <w:szCs w:val="22"/>
        </w:rPr>
        <w:t xml:space="preserve">En este estado, el fallido pide se concluya la quiebra por avenimiento. Conforme constancias de autos, existe un juicio de daños y perjuicios contra el fallido, que se había iniciado antes de la declaración de quiebra, y respecto del cual el actor decidió </w:t>
      </w:r>
      <w:r>
        <w:rPr>
          <w:rFonts w:ascii="Arial" w:eastAsia="Arial" w:hAnsi="Arial" w:cs="Arial"/>
          <w:sz w:val="22"/>
          <w:szCs w:val="22"/>
        </w:rPr>
        <w:t>continuar con la acción, y no se presentó a verificar tempestivamente.  Así, al pedido de conclusión, el Juzgado decreta, “atento la existencia de una proceso contra el fallido, y siendo que el actor en dichas actuaciones no ha prestado conformidad, a lo s</w:t>
      </w:r>
      <w:r>
        <w:rPr>
          <w:rFonts w:ascii="Arial" w:eastAsia="Arial" w:hAnsi="Arial" w:cs="Arial"/>
          <w:sz w:val="22"/>
          <w:szCs w:val="22"/>
        </w:rPr>
        <w:t>olicitado no ha lugar”. Contra dicho decreto se alza el fallido, interponiendo recurso de reposición, fundado en que dicho pretenso acreedor no ha verificado crédito y por tanto no debe ser tenido en cuenta. En este estado se le corre vista a fin de que em</w:t>
      </w:r>
      <w:r>
        <w:rPr>
          <w:rFonts w:ascii="Arial" w:eastAsia="Arial" w:hAnsi="Arial" w:cs="Arial"/>
          <w:sz w:val="22"/>
          <w:szCs w:val="22"/>
        </w:rPr>
        <w:t xml:space="preserve">ita opinión.  </w:t>
      </w:r>
    </w:p>
    <w:p w:rsidR="00287724" w:rsidRDefault="00287724">
      <w:pPr>
        <w:spacing w:after="0" w:line="360" w:lineRule="auto"/>
        <w:jc w:val="both"/>
        <w:rPr>
          <w:rFonts w:ascii="Arial" w:eastAsia="Arial" w:hAnsi="Arial" w:cs="Arial"/>
          <w:sz w:val="22"/>
          <w:szCs w:val="22"/>
          <w:u w:val="single"/>
        </w:rPr>
      </w:pPr>
    </w:p>
    <w:p w:rsidR="00287724" w:rsidRDefault="00916EC4">
      <w:pPr>
        <w:spacing w:after="0" w:line="360" w:lineRule="auto"/>
        <w:jc w:val="both"/>
        <w:rPr>
          <w:rFonts w:ascii="Arial" w:eastAsia="Arial" w:hAnsi="Arial" w:cs="Arial"/>
          <w:sz w:val="22"/>
          <w:szCs w:val="22"/>
        </w:rPr>
      </w:pPr>
      <w:r>
        <w:rPr>
          <w:rFonts w:ascii="Arial" w:eastAsia="Arial" w:hAnsi="Arial" w:cs="Arial"/>
          <w:sz w:val="22"/>
          <w:szCs w:val="22"/>
          <w:u w:val="single"/>
        </w:rPr>
        <w:t>Consigna</w:t>
      </w:r>
      <w:r>
        <w:rPr>
          <w:rFonts w:ascii="Arial" w:eastAsia="Arial" w:hAnsi="Arial" w:cs="Arial"/>
          <w:sz w:val="22"/>
          <w:szCs w:val="22"/>
        </w:rPr>
        <w:t>: elabore escrito de contestación de vista.</w:t>
      </w:r>
    </w:p>
    <w:p w:rsidR="00287724" w:rsidRDefault="00916EC4">
      <w:pPr>
        <w:spacing w:before="280" w:after="280" w:line="360" w:lineRule="auto"/>
        <w:jc w:val="both"/>
        <w:rPr>
          <w:rFonts w:ascii="Arial" w:eastAsia="Arial" w:hAnsi="Arial" w:cs="Arial"/>
          <w:sz w:val="22"/>
          <w:szCs w:val="22"/>
        </w:rPr>
      </w:pPr>
      <w:r>
        <w:rPr>
          <w:rFonts w:ascii="Arial" w:eastAsia="Arial" w:hAnsi="Arial" w:cs="Arial"/>
          <w:b/>
          <w:sz w:val="22"/>
          <w:szCs w:val="22"/>
        </w:rPr>
        <w:t>Señor Juez:</w:t>
      </w:r>
    </w:p>
    <w:p w:rsidR="00287724" w:rsidRDefault="00916EC4">
      <w:pPr>
        <w:spacing w:before="280" w:after="280" w:line="360" w:lineRule="auto"/>
        <w:jc w:val="both"/>
        <w:rPr>
          <w:rFonts w:ascii="Arial" w:eastAsia="Arial" w:hAnsi="Arial" w:cs="Arial"/>
          <w:sz w:val="22"/>
          <w:szCs w:val="22"/>
        </w:rPr>
      </w:pPr>
      <w:r>
        <w:rPr>
          <w:rFonts w:ascii="Arial" w:eastAsia="Arial" w:hAnsi="Arial" w:cs="Arial"/>
          <w:sz w:val="22"/>
          <w:szCs w:val="22"/>
        </w:rPr>
        <w:t xml:space="preserve">Juan Carlos Falitario, por derecho propio, con domicilio en [domicilio], en los autos caratulados </w:t>
      </w:r>
      <w:r>
        <w:rPr>
          <w:rFonts w:ascii="Arial" w:eastAsia="Arial" w:hAnsi="Arial" w:cs="Arial"/>
          <w:i/>
          <w:sz w:val="22"/>
          <w:szCs w:val="22"/>
        </w:rPr>
        <w:t>“Falitario, Juan Carlos s/ Quiebra pedida por acreedor”</w:t>
      </w:r>
      <w:r>
        <w:rPr>
          <w:rFonts w:ascii="Arial" w:eastAsia="Arial" w:hAnsi="Arial" w:cs="Arial"/>
          <w:sz w:val="22"/>
          <w:szCs w:val="22"/>
        </w:rPr>
        <w:t>, Expte. N° 14453/24, a V.S. respetuosamente digo:</w:t>
      </w:r>
    </w:p>
    <w:p w:rsidR="00287724" w:rsidRDefault="00916EC4">
      <w:pPr>
        <w:spacing w:before="280" w:after="280" w:line="360" w:lineRule="auto"/>
        <w:jc w:val="both"/>
        <w:rPr>
          <w:rFonts w:ascii="Arial" w:eastAsia="Arial" w:hAnsi="Arial" w:cs="Arial"/>
          <w:sz w:val="22"/>
          <w:szCs w:val="22"/>
        </w:rPr>
      </w:pPr>
      <w:r>
        <w:rPr>
          <w:rFonts w:ascii="Arial" w:eastAsia="Arial" w:hAnsi="Arial" w:cs="Arial"/>
          <w:sz w:val="22"/>
          <w:szCs w:val="22"/>
        </w:rPr>
        <w:t>Que en virtud de la vista conferida respecto del recurso de reposición interpuesto contra el decreto que denegara la conclusión de la quiebra por avenimiento, vengo a manifestar lo siguiente:</w:t>
      </w:r>
    </w:p>
    <w:p w:rsidR="00287724" w:rsidRDefault="00916EC4">
      <w:pPr>
        <w:spacing w:before="280" w:after="280" w:line="360" w:lineRule="auto"/>
        <w:jc w:val="both"/>
        <w:rPr>
          <w:rFonts w:ascii="Arial" w:eastAsia="Arial" w:hAnsi="Arial" w:cs="Arial"/>
          <w:sz w:val="22"/>
          <w:szCs w:val="22"/>
        </w:rPr>
      </w:pPr>
      <w:r>
        <w:rPr>
          <w:rFonts w:ascii="Arial" w:eastAsia="Arial" w:hAnsi="Arial" w:cs="Arial"/>
          <w:sz w:val="22"/>
          <w:szCs w:val="22"/>
        </w:rPr>
        <w:t xml:space="preserve">Que teniendo </w:t>
      </w:r>
      <w:r>
        <w:rPr>
          <w:rFonts w:ascii="Arial" w:eastAsia="Arial" w:hAnsi="Arial" w:cs="Arial"/>
          <w:sz w:val="22"/>
          <w:szCs w:val="22"/>
        </w:rPr>
        <w:t xml:space="preserve">en cuenta lo normado por el Art. 21 de la LCQ respecto de los Juicios contra el concursado, establece que “la apertura del concurso produce, a partir de la publicación de edictos, la suspensión del trámite de los juicios de contenido patrimonial contra el </w:t>
      </w:r>
      <w:r>
        <w:rPr>
          <w:rFonts w:ascii="Arial" w:eastAsia="Arial" w:hAnsi="Arial" w:cs="Arial"/>
          <w:sz w:val="22"/>
          <w:szCs w:val="22"/>
        </w:rPr>
        <w:t>concursado por causa o título anterior a su presentación, y su radicación en el juzgado del concurso. No podrán deducirse nuevas acciones con fundamento en tales causas o títulos.</w:t>
      </w:r>
    </w:p>
    <w:p w:rsidR="00287724" w:rsidRDefault="00916EC4">
      <w:pPr>
        <w:spacing w:before="280" w:after="280" w:line="360" w:lineRule="auto"/>
        <w:jc w:val="both"/>
        <w:rPr>
          <w:rFonts w:ascii="Arial" w:eastAsia="Arial" w:hAnsi="Arial" w:cs="Arial"/>
          <w:sz w:val="22"/>
          <w:szCs w:val="22"/>
        </w:rPr>
      </w:pPr>
      <w:r>
        <w:rPr>
          <w:rFonts w:ascii="Arial" w:eastAsia="Arial" w:hAnsi="Arial" w:cs="Arial"/>
          <w:sz w:val="22"/>
          <w:szCs w:val="22"/>
        </w:rPr>
        <w:t>Quedan excluidos de los efectos antes mencionados:……………………………………..</w:t>
      </w:r>
    </w:p>
    <w:p w:rsidR="00287724" w:rsidRDefault="00916EC4">
      <w:pPr>
        <w:spacing w:before="280" w:after="280" w:line="360" w:lineRule="auto"/>
        <w:jc w:val="both"/>
        <w:rPr>
          <w:rFonts w:ascii="Arial" w:eastAsia="Arial" w:hAnsi="Arial" w:cs="Arial"/>
          <w:sz w:val="22"/>
          <w:szCs w:val="22"/>
        </w:rPr>
      </w:pPr>
      <w:r>
        <w:rPr>
          <w:rFonts w:ascii="Arial" w:eastAsia="Arial" w:hAnsi="Arial" w:cs="Arial"/>
          <w:b/>
          <w:sz w:val="22"/>
          <w:szCs w:val="22"/>
        </w:rPr>
        <w:t>2. Los pr</w:t>
      </w:r>
      <w:r>
        <w:rPr>
          <w:rFonts w:ascii="Arial" w:eastAsia="Arial" w:hAnsi="Arial" w:cs="Arial"/>
          <w:b/>
          <w:sz w:val="22"/>
          <w:szCs w:val="22"/>
        </w:rPr>
        <w:t>ocesos de conocimiento en trámite y los juicios laborales, salvo que el actor opte por suspender el procedimiento y verificar su crédito conforme lo dispuesto por los artículos 32 y concordantes………</w:t>
      </w:r>
      <w:r>
        <w:rPr>
          <w:rFonts w:ascii="Arial" w:eastAsia="Arial" w:hAnsi="Arial" w:cs="Arial"/>
          <w:sz w:val="22"/>
          <w:szCs w:val="22"/>
        </w:rPr>
        <w:t>; (como sucede en este caso que podrá optar por seguir el j</w:t>
      </w:r>
      <w:r>
        <w:rPr>
          <w:rFonts w:ascii="Arial" w:eastAsia="Arial" w:hAnsi="Arial" w:cs="Arial"/>
          <w:sz w:val="22"/>
          <w:szCs w:val="22"/>
        </w:rPr>
        <w:t xml:space="preserve">uicio en forma individual u optar por presentarse a verificar). </w:t>
      </w:r>
    </w:p>
    <w:p w:rsidR="00287724" w:rsidRDefault="00916EC4">
      <w:pPr>
        <w:spacing w:before="280" w:after="280" w:line="360" w:lineRule="auto"/>
        <w:jc w:val="both"/>
        <w:rPr>
          <w:rFonts w:ascii="Arial" w:eastAsia="Arial" w:hAnsi="Arial" w:cs="Arial"/>
          <w:sz w:val="22"/>
          <w:szCs w:val="22"/>
        </w:rPr>
      </w:pPr>
      <w:r>
        <w:rPr>
          <w:rFonts w:ascii="Arial" w:eastAsia="Arial" w:hAnsi="Arial" w:cs="Arial"/>
          <w:sz w:val="22"/>
          <w:szCs w:val="22"/>
        </w:rPr>
        <w:t xml:space="preserve">En estos casos los juicios proseguirán ante el tribunal de su radicación originaria o ante el que resulte competente si se trata de acciones laborales nuevas. El síndico será parte necesaria </w:t>
      </w:r>
      <w:r>
        <w:rPr>
          <w:rFonts w:ascii="Arial" w:eastAsia="Arial" w:hAnsi="Arial" w:cs="Arial"/>
          <w:sz w:val="22"/>
          <w:szCs w:val="22"/>
        </w:rPr>
        <w:t>en tales juicios, excepto en los que se funden en relaciones de familia, a cuyo efecto podrá otorgar poder a favor de abogados cuya regulación de honorarios estará a cargo del juez del concurso, cuando el concursado resultare condenado en costas, y se regi</w:t>
      </w:r>
      <w:r>
        <w:rPr>
          <w:rFonts w:ascii="Arial" w:eastAsia="Arial" w:hAnsi="Arial" w:cs="Arial"/>
          <w:sz w:val="22"/>
          <w:szCs w:val="22"/>
        </w:rPr>
        <w:t>rá por las pautas previstas en la presente ley.</w:t>
      </w:r>
    </w:p>
    <w:p w:rsidR="00287724" w:rsidRDefault="00916EC4">
      <w:pPr>
        <w:spacing w:before="280" w:after="280" w:line="360" w:lineRule="auto"/>
        <w:jc w:val="both"/>
        <w:rPr>
          <w:rFonts w:ascii="Arial" w:eastAsia="Arial" w:hAnsi="Arial" w:cs="Arial"/>
          <w:sz w:val="22"/>
          <w:szCs w:val="22"/>
        </w:rPr>
      </w:pPr>
      <w:r>
        <w:rPr>
          <w:rFonts w:ascii="Arial" w:eastAsia="Arial" w:hAnsi="Arial" w:cs="Arial"/>
          <w:sz w:val="22"/>
          <w:szCs w:val="22"/>
        </w:rPr>
        <w:t>En los procesos indicados en los incisos 2) y 3) no procederá el dictado de medidas cautelares. Las que se hubieren ordenado, serán levantadas por el juez del concurso, previa vista a los interesados. La sent</w:t>
      </w:r>
      <w:r>
        <w:rPr>
          <w:rFonts w:ascii="Arial" w:eastAsia="Arial" w:hAnsi="Arial" w:cs="Arial"/>
          <w:sz w:val="22"/>
          <w:szCs w:val="22"/>
        </w:rPr>
        <w:t>encia que se dicte en los mismos valdrá como título verificatorio en el concurso.</w:t>
      </w:r>
    </w:p>
    <w:p w:rsidR="00287724" w:rsidRDefault="00916EC4">
      <w:pPr>
        <w:spacing w:before="280" w:after="280" w:line="360" w:lineRule="auto"/>
        <w:jc w:val="both"/>
        <w:rPr>
          <w:rFonts w:ascii="Arial" w:eastAsia="Arial" w:hAnsi="Arial" w:cs="Arial"/>
          <w:sz w:val="22"/>
          <w:szCs w:val="22"/>
        </w:rPr>
      </w:pPr>
      <w:r>
        <w:rPr>
          <w:rFonts w:ascii="Arial" w:eastAsia="Arial" w:hAnsi="Arial" w:cs="Arial"/>
          <w:sz w:val="22"/>
          <w:szCs w:val="22"/>
        </w:rPr>
        <w:t xml:space="preserve">En las ejecuciones de garantías reales no se admitirá el remate de la cosa gravada ni la adopción de medidas precautorias que impidan su uso por el deudor, si no se acredita </w:t>
      </w:r>
      <w:r>
        <w:rPr>
          <w:rFonts w:ascii="Arial" w:eastAsia="Arial" w:hAnsi="Arial" w:cs="Arial"/>
          <w:sz w:val="22"/>
          <w:szCs w:val="22"/>
        </w:rPr>
        <w:t>haber presentado el pedido de verificación del crédito y su privilegio”.</w:t>
      </w:r>
    </w:p>
    <w:p w:rsidR="00287724" w:rsidRDefault="00916EC4">
      <w:pPr>
        <w:spacing w:before="280" w:after="280" w:line="360" w:lineRule="auto"/>
        <w:jc w:val="both"/>
        <w:rPr>
          <w:rFonts w:ascii="Arial" w:eastAsia="Arial" w:hAnsi="Arial" w:cs="Arial"/>
          <w:sz w:val="22"/>
          <w:szCs w:val="22"/>
        </w:rPr>
      </w:pPr>
      <w:r>
        <w:rPr>
          <w:rFonts w:ascii="Arial" w:eastAsia="Arial" w:hAnsi="Arial" w:cs="Arial"/>
          <w:sz w:val="22"/>
          <w:szCs w:val="22"/>
        </w:rPr>
        <w:t xml:space="preserve">Sólo los acreedores verificados y declarados admisibles pueden oponerse válidamente al avenimiento. No corresponde atribuir calidad de acreedor a quien, teniendo la posibilidad legal </w:t>
      </w:r>
      <w:r>
        <w:rPr>
          <w:rFonts w:ascii="Arial" w:eastAsia="Arial" w:hAnsi="Arial" w:cs="Arial"/>
          <w:sz w:val="22"/>
          <w:szCs w:val="22"/>
        </w:rPr>
        <w:t>de verificar su crédito en tiempo y forma, ha omitido hacerlo. Así lo ha establecido la doctrina y jurisprudencia constante (conf. CNCom., Sala D, "Lucero S.A. s/ quiebra", 2020).</w:t>
      </w:r>
    </w:p>
    <w:p w:rsidR="00287724" w:rsidRDefault="00916EC4">
      <w:pPr>
        <w:shd w:val="clear" w:color="auto" w:fill="FFFFFF"/>
        <w:spacing w:after="0" w:line="360" w:lineRule="auto"/>
        <w:jc w:val="both"/>
        <w:rPr>
          <w:rFonts w:ascii="Arial" w:eastAsia="Arial" w:hAnsi="Arial" w:cs="Arial"/>
          <w:sz w:val="22"/>
          <w:szCs w:val="22"/>
        </w:rPr>
      </w:pPr>
      <w:r>
        <w:rPr>
          <w:rFonts w:ascii="Arial" w:eastAsia="Arial" w:hAnsi="Arial" w:cs="Arial"/>
          <w:sz w:val="22"/>
          <w:szCs w:val="22"/>
        </w:rPr>
        <w:t>Teniendo en cuenta la doctrina en el tema del Dr. Daniel Vítolo .</w:t>
      </w:r>
      <w:r>
        <w:rPr>
          <w:rFonts w:ascii="Arial" w:eastAsia="Arial" w:hAnsi="Arial" w:cs="Arial"/>
          <w:sz w:val="22"/>
          <w:szCs w:val="22"/>
          <w:vertAlign w:val="superscript"/>
        </w:rPr>
        <w:footnoteReference w:id="13"/>
      </w:r>
      <w:r>
        <w:rPr>
          <w:rFonts w:ascii="Arial" w:eastAsia="Arial" w:hAnsi="Arial" w:cs="Arial"/>
          <w:sz w:val="22"/>
          <w:szCs w:val="22"/>
        </w:rPr>
        <w:t xml:space="preserve">, el cual </w:t>
      </w:r>
      <w:r>
        <w:rPr>
          <w:rFonts w:ascii="Arial" w:eastAsia="Arial" w:hAnsi="Arial" w:cs="Arial"/>
          <w:sz w:val="22"/>
          <w:szCs w:val="22"/>
        </w:rPr>
        <w:t>indica que "luego de concluido y firme el proceso colectivo por avenimiento, los acreedores concursales que no han concurrido o lo han hecho deficientemente, sin haber obtenido pronunciamiento alguno sobre su inclusión en el pasivo, pueden obrar con amplia</w:t>
      </w:r>
      <w:r>
        <w:rPr>
          <w:rFonts w:ascii="Arial" w:eastAsia="Arial" w:hAnsi="Arial" w:cs="Arial"/>
          <w:sz w:val="22"/>
          <w:szCs w:val="22"/>
        </w:rPr>
        <w:t xml:space="preserve"> libertad para el ejercicio de las acciones individuales hábiles que correspondieran, como si la quiebra no hubiese existido".</w:t>
      </w:r>
    </w:p>
    <w:p w:rsidR="00287724" w:rsidRDefault="00916EC4">
      <w:pPr>
        <w:shd w:val="clear" w:color="auto" w:fill="FFFFFF"/>
        <w:spacing w:after="0" w:line="360" w:lineRule="auto"/>
        <w:jc w:val="both"/>
        <w:rPr>
          <w:rFonts w:ascii="Arial" w:eastAsia="Arial" w:hAnsi="Arial" w:cs="Arial"/>
          <w:sz w:val="22"/>
          <w:szCs w:val="22"/>
        </w:rPr>
      </w:pPr>
      <w:r>
        <w:rPr>
          <w:rFonts w:ascii="Arial" w:eastAsia="Arial" w:hAnsi="Arial" w:cs="Arial"/>
          <w:sz w:val="22"/>
          <w:szCs w:val="22"/>
        </w:rPr>
        <w:t xml:space="preserve">Darío Graziabile y Fabián Loiza </w:t>
      </w:r>
      <w:r>
        <w:rPr>
          <w:rFonts w:ascii="Arial" w:eastAsia="Arial" w:hAnsi="Arial" w:cs="Arial"/>
          <w:sz w:val="22"/>
          <w:szCs w:val="22"/>
          <w:vertAlign w:val="superscript"/>
        </w:rPr>
        <w:footnoteReference w:id="14"/>
      </w:r>
      <w:r>
        <w:rPr>
          <w:rFonts w:ascii="Arial" w:eastAsia="Arial" w:hAnsi="Arial" w:cs="Arial"/>
          <w:sz w:val="22"/>
          <w:szCs w:val="22"/>
        </w:rPr>
        <w:t>sostienen que "en lo que hace a los acreedores no concurrentes, siempre y cuando sus créditos se</w:t>
      </w:r>
      <w:r>
        <w:rPr>
          <w:rFonts w:ascii="Arial" w:eastAsia="Arial" w:hAnsi="Arial" w:cs="Arial"/>
          <w:sz w:val="22"/>
          <w:szCs w:val="22"/>
        </w:rPr>
        <w:t xml:space="preserve"> mantengan exigibles, podrán reclamar al ex fallido el objeto de la prestación debida, en la medida y extensión que originalmente poseían puesto que la recuperación por el fallido de la administración y gestión de su patrimonio implica la plena responsabil</w:t>
      </w:r>
      <w:r>
        <w:rPr>
          <w:rFonts w:ascii="Arial" w:eastAsia="Arial" w:hAnsi="Arial" w:cs="Arial"/>
          <w:sz w:val="22"/>
          <w:szCs w:val="22"/>
        </w:rPr>
        <w:t>idad respecto de las deudas verificadas y de las no insinuadas igualmente. De allí que si la obligación debida se mantiene vigente el acreedor podrá reclamar al ex fallido, pues ninguna norma prevé la extinción con motivo en la conclusión de la quiebra". A</w:t>
      </w:r>
      <w:r>
        <w:rPr>
          <w:rFonts w:ascii="Arial" w:eastAsia="Arial" w:hAnsi="Arial" w:cs="Arial"/>
          <w:sz w:val="22"/>
          <w:szCs w:val="22"/>
        </w:rPr>
        <w:t>gregando que "entonces tratándose de un supuesto de conclusión falencial no liquidativo, aquellos acreedores que no se han insinuado en el proceso concursal recuperan sus acciones individuales, siempre con el límite de la prescripción liberatoria cuyo trán</w:t>
      </w:r>
      <w:r>
        <w:rPr>
          <w:rFonts w:ascii="Arial" w:eastAsia="Arial" w:hAnsi="Arial" w:cs="Arial"/>
          <w:sz w:val="22"/>
          <w:szCs w:val="22"/>
        </w:rPr>
        <w:t>sito temporal no queda perjudicado por la quiebra" </w:t>
      </w:r>
      <w:bookmarkStart w:id="10" w:name="y1fjkyr9icnk" w:colFirst="0" w:colLast="0"/>
      <w:bookmarkEnd w:id="10"/>
      <w:r>
        <w:fldChar w:fldCharType="begin"/>
      </w:r>
      <w:r>
        <w:instrText xml:space="preserve"> HYPERLINK "https://www.informacionlegal.com.ar/maf/app/document?&amp;src=laley4&amp;srguid=i0a89dd2800000196100767bf24647864&amp;docguid=i74D8A8BEE69809C4FAB721C589216C34&amp;hitguid=i74D8A8BEE69809C4FAB721C589216C34&amp;t</w:instrText>
      </w:r>
      <w:r>
        <w:instrText xml:space="preserve">ocguid=&amp;spos=1&amp;epos=1&amp;td=62&amp;ao=i0ADFAB8AC74B1D1F81C755DE6E08D02A&amp;searchFrom=&amp;savedSearch=false&amp;context=140&amp;crumb-action=append&amp;" \l "FN24" \h </w:instrText>
      </w:r>
      <w:r>
        <w:fldChar w:fldCharType="separate"/>
      </w:r>
      <w:r>
        <w:rPr>
          <w:rFonts w:ascii="Arial" w:eastAsia="Arial" w:hAnsi="Arial" w:cs="Arial"/>
          <w:sz w:val="22"/>
          <w:szCs w:val="22"/>
        </w:rPr>
        <w:t>(11)</w:t>
      </w:r>
      <w:r>
        <w:rPr>
          <w:rFonts w:ascii="Arial" w:eastAsia="Arial" w:hAnsi="Arial" w:cs="Arial"/>
          <w:sz w:val="22"/>
          <w:szCs w:val="22"/>
        </w:rPr>
        <w:fldChar w:fldCharType="end"/>
      </w:r>
      <w:r>
        <w:rPr>
          <w:rFonts w:ascii="Arial" w:eastAsia="Arial" w:hAnsi="Arial" w:cs="Arial"/>
          <w:sz w:val="22"/>
          <w:szCs w:val="22"/>
        </w:rPr>
        <w:t>.</w:t>
      </w:r>
    </w:p>
    <w:p w:rsidR="00287724" w:rsidRDefault="00916EC4">
      <w:pPr>
        <w:spacing w:before="280" w:after="280" w:line="360" w:lineRule="auto"/>
        <w:jc w:val="both"/>
        <w:rPr>
          <w:rFonts w:ascii="Arial" w:eastAsia="Arial" w:hAnsi="Arial" w:cs="Arial"/>
          <w:sz w:val="22"/>
          <w:szCs w:val="22"/>
        </w:rPr>
      </w:pPr>
      <w:r>
        <w:rPr>
          <w:rFonts w:ascii="Arial" w:eastAsia="Arial" w:hAnsi="Arial" w:cs="Arial"/>
          <w:sz w:val="22"/>
          <w:szCs w:val="22"/>
        </w:rPr>
        <w:t>Que teniendo en cuenta el caso en cuestión no impide que se considere el avenimiento ya que este posible ac</w:t>
      </w:r>
      <w:r>
        <w:rPr>
          <w:rFonts w:ascii="Arial" w:eastAsia="Arial" w:hAnsi="Arial" w:cs="Arial"/>
          <w:sz w:val="22"/>
          <w:szCs w:val="22"/>
        </w:rPr>
        <w:t xml:space="preserve">reedor lleva su juicio de conocimiento en forma individual no habiéndose presentado a verificar su crédito siguiendo la opción prevista en el mencionado art. 21 de la LCQ. </w:t>
      </w:r>
    </w:p>
    <w:p w:rsidR="00287724" w:rsidRDefault="00916EC4">
      <w:pPr>
        <w:spacing w:before="280" w:after="280" w:line="360" w:lineRule="auto"/>
        <w:jc w:val="both"/>
        <w:rPr>
          <w:rFonts w:ascii="Arial" w:eastAsia="Arial" w:hAnsi="Arial" w:cs="Arial"/>
          <w:sz w:val="22"/>
          <w:szCs w:val="22"/>
        </w:rPr>
      </w:pPr>
      <w:r>
        <w:rPr>
          <w:rFonts w:ascii="Arial" w:eastAsia="Arial" w:hAnsi="Arial" w:cs="Arial"/>
          <w:sz w:val="22"/>
          <w:szCs w:val="22"/>
        </w:rPr>
        <w:t>Asimismo, considerando lo establecido en el art. 225 de la LCQ, respecto del presup</w:t>
      </w:r>
      <w:r>
        <w:rPr>
          <w:rFonts w:ascii="Arial" w:eastAsia="Arial" w:hAnsi="Arial" w:cs="Arial"/>
          <w:sz w:val="22"/>
          <w:szCs w:val="22"/>
        </w:rPr>
        <w:t>uesto y petición del modo de conclusión de la quiebra por Avenimiento donde debe haber acuerdo unánime de todos los acreedores verificados y declarados admisibles, plasmándolo por escrito y donde cuyas firmas deben ser autenticadas por notario o ratificada</w:t>
      </w:r>
      <w:r>
        <w:rPr>
          <w:rFonts w:ascii="Arial" w:eastAsia="Arial" w:hAnsi="Arial" w:cs="Arial"/>
          <w:sz w:val="22"/>
          <w:szCs w:val="22"/>
        </w:rPr>
        <w:t xml:space="preserve">s ante el secretario. Siendo que la petición puede ser formulada en cualquier momento, después de la verificación, y hasta que se realice la última enajenación de los bienes del activo, exceptuados los créditos. Asimismo, se puede advertir que se consigue </w:t>
      </w:r>
      <w:r>
        <w:rPr>
          <w:rFonts w:ascii="Arial" w:eastAsia="Arial" w:hAnsi="Arial" w:cs="Arial"/>
          <w:sz w:val="22"/>
          <w:szCs w:val="22"/>
        </w:rPr>
        <w:t>la conformidad del 100 % de los acreedores verificados a los efectos de proceder la conclusión de la quiebra por Avenimiento cesando todos los efectos de la quiebra.</w:t>
      </w:r>
    </w:p>
    <w:p w:rsidR="00287724" w:rsidRDefault="00916EC4">
      <w:pPr>
        <w:spacing w:before="280" w:after="280" w:line="360" w:lineRule="auto"/>
        <w:jc w:val="both"/>
        <w:rPr>
          <w:rFonts w:ascii="Arial" w:eastAsia="Arial" w:hAnsi="Arial" w:cs="Arial"/>
          <w:sz w:val="22"/>
          <w:szCs w:val="22"/>
        </w:rPr>
      </w:pPr>
      <w:r>
        <w:rPr>
          <w:rFonts w:ascii="Arial" w:eastAsia="Arial" w:hAnsi="Arial" w:cs="Arial"/>
          <w:sz w:val="22"/>
          <w:szCs w:val="22"/>
        </w:rPr>
        <w:t>El avenimiento "supone el consentimiento con el levantamiento o conclusión de la quiebra d</w:t>
      </w:r>
      <w:r>
        <w:rPr>
          <w:rFonts w:ascii="Arial" w:eastAsia="Arial" w:hAnsi="Arial" w:cs="Arial"/>
          <w:sz w:val="22"/>
          <w:szCs w:val="22"/>
        </w:rPr>
        <w:t>e un deudor, prestado por los acreedores verificados y declarados admisibles, mediante escrito cuyas firmas deben ser autenticadas por notario o ratificadas ante el secretario del juzgado interviniente antes de la última enajenación de los bienes del activ</w:t>
      </w:r>
      <w:r>
        <w:rPr>
          <w:rFonts w:ascii="Arial" w:eastAsia="Arial" w:hAnsi="Arial" w:cs="Arial"/>
          <w:sz w:val="22"/>
          <w:szCs w:val="22"/>
        </w:rPr>
        <w:t>o de la quiebra</w:t>
      </w:r>
      <w:r>
        <w:rPr>
          <w:rFonts w:ascii="Arial" w:eastAsia="Arial" w:hAnsi="Arial" w:cs="Arial"/>
          <w:sz w:val="22"/>
          <w:szCs w:val="22"/>
          <w:vertAlign w:val="superscript"/>
        </w:rPr>
        <w:footnoteReference w:id="15"/>
      </w:r>
      <w:r>
        <w:rPr>
          <w:rFonts w:ascii="Arial" w:eastAsia="Arial" w:hAnsi="Arial" w:cs="Arial"/>
          <w:sz w:val="22"/>
          <w:szCs w:val="22"/>
        </w:rPr>
        <w:t xml:space="preserve">. </w:t>
      </w:r>
    </w:p>
    <w:p w:rsidR="00287724" w:rsidRDefault="00916EC4">
      <w:pPr>
        <w:spacing w:before="280" w:after="280" w:line="360" w:lineRule="auto"/>
        <w:jc w:val="both"/>
        <w:rPr>
          <w:rFonts w:ascii="Arial" w:eastAsia="Arial" w:hAnsi="Arial" w:cs="Arial"/>
          <w:sz w:val="22"/>
          <w:szCs w:val="22"/>
        </w:rPr>
      </w:pPr>
      <w:r>
        <w:rPr>
          <w:rFonts w:ascii="Arial" w:eastAsia="Arial" w:hAnsi="Arial" w:cs="Arial"/>
          <w:sz w:val="22"/>
          <w:szCs w:val="22"/>
        </w:rPr>
        <w:t>Respecto a los acreedores verificados y declarados admisibles como requisito para que se pueda concluir la declaración de quiebra por avenimiento, se deberá presentar la conformidad de la totalidad de los mencionados acreedores. Siendo que de los 12 acreed</w:t>
      </w:r>
      <w:r>
        <w:rPr>
          <w:rFonts w:ascii="Arial" w:eastAsia="Arial" w:hAnsi="Arial" w:cs="Arial"/>
          <w:sz w:val="22"/>
          <w:szCs w:val="22"/>
        </w:rPr>
        <w:t>ores verificados y declarados admisibles prestaron la conformidad 10 acreedores y luego un tercero subrogo los créditos de los dos acreedores restantes dando la conformidad para que se concluya la quiebra por avenimiento, y corriendo vista a estos que dier</w:t>
      </w:r>
      <w:r>
        <w:rPr>
          <w:rFonts w:ascii="Arial" w:eastAsia="Arial" w:hAnsi="Arial" w:cs="Arial"/>
          <w:sz w:val="22"/>
          <w:szCs w:val="22"/>
        </w:rPr>
        <w:t>on también su conformidad del crédito adquirido por el tercero. Quedando cumplimentado el requisito para que se de el avenimiento. Sin tener en cuenta el posible acreedor que tramita un juicio de conocimiento individual que opto por no presentarse a verifi</w:t>
      </w:r>
      <w:r>
        <w:rPr>
          <w:rFonts w:ascii="Arial" w:eastAsia="Arial" w:hAnsi="Arial" w:cs="Arial"/>
          <w:sz w:val="22"/>
          <w:szCs w:val="22"/>
        </w:rPr>
        <w:t xml:space="preserve">car y continuar con el juicio ordinario, el cual no se deberá tener en cuenta al momento del cómputo de los acreedores que prestan su conformidad para el avenimiento. </w:t>
      </w:r>
    </w:p>
    <w:p w:rsidR="00287724" w:rsidRDefault="00916EC4">
      <w:pPr>
        <w:shd w:val="clear" w:color="auto" w:fill="FFFFFF"/>
        <w:spacing w:after="0" w:line="360" w:lineRule="auto"/>
        <w:jc w:val="both"/>
        <w:rPr>
          <w:rFonts w:ascii="Arial" w:eastAsia="Arial" w:hAnsi="Arial" w:cs="Arial"/>
          <w:sz w:val="22"/>
          <w:szCs w:val="22"/>
        </w:rPr>
      </w:pPr>
      <w:r>
        <w:rPr>
          <w:rFonts w:ascii="Arial" w:eastAsia="Arial" w:hAnsi="Arial" w:cs="Arial"/>
          <w:sz w:val="22"/>
          <w:szCs w:val="22"/>
        </w:rPr>
        <w:t>Teniendo en cuenta que para el caso de aquellos acreedores que se han mantenido al marge</w:t>
      </w:r>
      <w:r>
        <w:rPr>
          <w:rFonts w:ascii="Arial" w:eastAsia="Arial" w:hAnsi="Arial" w:cs="Arial"/>
          <w:sz w:val="22"/>
          <w:szCs w:val="22"/>
        </w:rPr>
        <w:t>n del proceso concursal liquidativo, continuando sus acciones individuales, frente al avenimiento no sufren limitación alguna en su acción. Éstas no se ven enervadas por el avenimiento. Por lo tanto, el actor podrá continuar con su tramitación.</w:t>
      </w:r>
    </w:p>
    <w:p w:rsidR="00287724" w:rsidRDefault="00287724">
      <w:pPr>
        <w:shd w:val="clear" w:color="auto" w:fill="FFFFFF"/>
        <w:spacing w:after="0" w:line="360" w:lineRule="auto"/>
        <w:jc w:val="both"/>
        <w:rPr>
          <w:rFonts w:ascii="Arial" w:eastAsia="Arial" w:hAnsi="Arial" w:cs="Arial"/>
          <w:sz w:val="22"/>
          <w:szCs w:val="22"/>
        </w:rPr>
      </w:pPr>
    </w:p>
    <w:p w:rsidR="00287724" w:rsidRDefault="00916EC4">
      <w:pPr>
        <w:shd w:val="clear" w:color="auto" w:fill="FFFFFF"/>
        <w:spacing w:after="0" w:line="360" w:lineRule="auto"/>
        <w:jc w:val="both"/>
        <w:rPr>
          <w:rFonts w:ascii="Arial" w:eastAsia="Arial" w:hAnsi="Arial" w:cs="Arial"/>
          <w:sz w:val="22"/>
          <w:szCs w:val="22"/>
        </w:rPr>
      </w:pPr>
      <w:r>
        <w:rPr>
          <w:rFonts w:ascii="Arial" w:eastAsia="Arial" w:hAnsi="Arial" w:cs="Arial"/>
          <w:sz w:val="22"/>
          <w:szCs w:val="22"/>
        </w:rPr>
        <w:t xml:space="preserve">Asimismo, </w:t>
      </w:r>
      <w:r>
        <w:rPr>
          <w:rFonts w:ascii="Arial" w:eastAsia="Arial" w:hAnsi="Arial" w:cs="Arial"/>
          <w:sz w:val="22"/>
          <w:szCs w:val="22"/>
        </w:rPr>
        <w:t>se puede mencionar lo expuesto por la doctrina donde el Dr. Javier Alegría (15) expone que "los acreedores concursales que no se hubieran verificado o hubieran acordado distintamente con el deudor, recobrarán sus acciones individuales para eventualmente so</w:t>
      </w:r>
      <w:r>
        <w:rPr>
          <w:rFonts w:ascii="Arial" w:eastAsia="Arial" w:hAnsi="Arial" w:cs="Arial"/>
          <w:sz w:val="22"/>
          <w:szCs w:val="22"/>
        </w:rPr>
        <w:t>licitar del deudor el cumplimiento de las obligaciones en los términos oportunamente celebrados, siempre y cuando no hubiera prescripto la acción individual correspondiente. Tales acreedores se encontrarán en la misma situación que si la quiebra no hubiera</w:t>
      </w:r>
      <w:r>
        <w:rPr>
          <w:rFonts w:ascii="Arial" w:eastAsia="Arial" w:hAnsi="Arial" w:cs="Arial"/>
          <w:sz w:val="22"/>
          <w:szCs w:val="22"/>
        </w:rPr>
        <w:t xml:space="preserve"> existido" </w:t>
      </w:r>
    </w:p>
    <w:p w:rsidR="00287724" w:rsidRDefault="00287724">
      <w:pPr>
        <w:shd w:val="clear" w:color="auto" w:fill="FFFFFF"/>
        <w:spacing w:after="0" w:line="360" w:lineRule="auto"/>
        <w:jc w:val="both"/>
        <w:rPr>
          <w:rFonts w:ascii="Arial" w:eastAsia="Arial" w:hAnsi="Arial" w:cs="Arial"/>
          <w:sz w:val="22"/>
          <w:szCs w:val="22"/>
        </w:rPr>
      </w:pPr>
    </w:p>
    <w:p w:rsidR="00287724" w:rsidRDefault="00916EC4">
      <w:pPr>
        <w:shd w:val="clear" w:color="auto" w:fill="FFFFFF"/>
        <w:spacing w:after="0" w:line="360" w:lineRule="auto"/>
        <w:jc w:val="both"/>
        <w:rPr>
          <w:rFonts w:ascii="Arial" w:eastAsia="Arial" w:hAnsi="Arial" w:cs="Arial"/>
          <w:color w:val="444444"/>
          <w:sz w:val="22"/>
          <w:szCs w:val="22"/>
        </w:rPr>
      </w:pPr>
      <w:r>
        <w:rPr>
          <w:rFonts w:ascii="Arial" w:eastAsia="Arial" w:hAnsi="Arial" w:cs="Arial"/>
          <w:sz w:val="22"/>
          <w:szCs w:val="22"/>
        </w:rPr>
        <w:t>Por lo tanto, el decreto que rechazó la petición de conclusión por avenimiento resulta improcedente y debe ser revocado.</w:t>
      </w:r>
    </w:p>
    <w:p w:rsidR="00287724" w:rsidRDefault="00916EC4">
      <w:pPr>
        <w:spacing w:before="280" w:after="280" w:line="360" w:lineRule="auto"/>
        <w:rPr>
          <w:rFonts w:ascii="Arial" w:eastAsia="Arial" w:hAnsi="Arial" w:cs="Arial"/>
          <w:sz w:val="22"/>
          <w:szCs w:val="22"/>
        </w:rPr>
      </w:pPr>
      <w:r>
        <w:rPr>
          <w:rFonts w:ascii="Arial" w:eastAsia="Arial" w:hAnsi="Arial" w:cs="Arial"/>
          <w:b/>
          <w:sz w:val="22"/>
          <w:szCs w:val="22"/>
        </w:rPr>
        <w:t>PETITORIO</w:t>
      </w:r>
    </w:p>
    <w:p w:rsidR="00287724" w:rsidRDefault="00916EC4">
      <w:pPr>
        <w:spacing w:before="280" w:after="280" w:line="360" w:lineRule="auto"/>
        <w:rPr>
          <w:rFonts w:ascii="Arial" w:eastAsia="Arial" w:hAnsi="Arial" w:cs="Arial"/>
          <w:sz w:val="22"/>
          <w:szCs w:val="22"/>
        </w:rPr>
      </w:pPr>
      <w:r>
        <w:rPr>
          <w:rFonts w:ascii="Arial" w:eastAsia="Arial" w:hAnsi="Arial" w:cs="Arial"/>
          <w:sz w:val="22"/>
          <w:szCs w:val="22"/>
        </w:rPr>
        <w:t>Por lo expuesto, solicito a V.S.:</w:t>
      </w:r>
    </w:p>
    <w:p w:rsidR="00287724" w:rsidRDefault="00916EC4">
      <w:pPr>
        <w:numPr>
          <w:ilvl w:val="0"/>
          <w:numId w:val="12"/>
        </w:numPr>
        <w:spacing w:before="280" w:after="0" w:line="360" w:lineRule="auto"/>
        <w:rPr>
          <w:rFonts w:ascii="Arial" w:eastAsia="Arial" w:hAnsi="Arial" w:cs="Arial"/>
          <w:sz w:val="22"/>
          <w:szCs w:val="22"/>
        </w:rPr>
      </w:pPr>
      <w:r>
        <w:rPr>
          <w:rFonts w:ascii="Arial" w:eastAsia="Arial" w:hAnsi="Arial" w:cs="Arial"/>
          <w:sz w:val="22"/>
          <w:szCs w:val="22"/>
        </w:rPr>
        <w:t>Tenga por evacuada la vista.</w:t>
      </w:r>
    </w:p>
    <w:p w:rsidR="00287724" w:rsidRDefault="00916EC4">
      <w:pPr>
        <w:numPr>
          <w:ilvl w:val="0"/>
          <w:numId w:val="12"/>
        </w:numPr>
        <w:spacing w:after="0" w:line="360" w:lineRule="auto"/>
        <w:rPr>
          <w:rFonts w:ascii="Arial" w:eastAsia="Arial" w:hAnsi="Arial" w:cs="Arial"/>
          <w:sz w:val="22"/>
          <w:szCs w:val="22"/>
        </w:rPr>
      </w:pPr>
      <w:r>
        <w:rPr>
          <w:rFonts w:ascii="Arial" w:eastAsia="Arial" w:hAnsi="Arial" w:cs="Arial"/>
          <w:sz w:val="22"/>
          <w:szCs w:val="22"/>
        </w:rPr>
        <w:t>Haga lugar al recurso de reposición interpuesto.</w:t>
      </w:r>
    </w:p>
    <w:p w:rsidR="00287724" w:rsidRDefault="00916EC4">
      <w:pPr>
        <w:numPr>
          <w:ilvl w:val="0"/>
          <w:numId w:val="12"/>
        </w:numPr>
        <w:spacing w:after="0" w:line="360" w:lineRule="auto"/>
        <w:rPr>
          <w:rFonts w:ascii="Arial" w:eastAsia="Arial" w:hAnsi="Arial" w:cs="Arial"/>
          <w:sz w:val="22"/>
          <w:szCs w:val="22"/>
        </w:rPr>
      </w:pPr>
      <w:r>
        <w:rPr>
          <w:rFonts w:ascii="Arial" w:eastAsia="Arial" w:hAnsi="Arial" w:cs="Arial"/>
          <w:sz w:val="22"/>
          <w:szCs w:val="22"/>
        </w:rPr>
        <w:t>Revoque el decreto de denegación y, en consecuencia,</w:t>
      </w:r>
    </w:p>
    <w:p w:rsidR="00287724" w:rsidRDefault="00916EC4">
      <w:pPr>
        <w:numPr>
          <w:ilvl w:val="0"/>
          <w:numId w:val="12"/>
        </w:numPr>
        <w:spacing w:after="280" w:line="360" w:lineRule="auto"/>
        <w:rPr>
          <w:rFonts w:ascii="Arial" w:eastAsia="Arial" w:hAnsi="Arial" w:cs="Arial"/>
          <w:sz w:val="22"/>
          <w:szCs w:val="22"/>
        </w:rPr>
      </w:pPr>
      <w:r>
        <w:rPr>
          <w:rFonts w:ascii="Arial" w:eastAsia="Arial" w:hAnsi="Arial" w:cs="Arial"/>
          <w:sz w:val="22"/>
          <w:szCs w:val="22"/>
        </w:rPr>
        <w:t xml:space="preserve">Decrete la </w:t>
      </w:r>
      <w:r>
        <w:rPr>
          <w:rFonts w:ascii="Arial" w:eastAsia="Arial" w:hAnsi="Arial" w:cs="Arial"/>
          <w:b/>
          <w:sz w:val="22"/>
          <w:szCs w:val="22"/>
        </w:rPr>
        <w:t>conclusión de la quiebra por avenimiento</w:t>
      </w:r>
      <w:r>
        <w:rPr>
          <w:rFonts w:ascii="Arial" w:eastAsia="Arial" w:hAnsi="Arial" w:cs="Arial"/>
          <w:sz w:val="22"/>
          <w:szCs w:val="22"/>
        </w:rPr>
        <w:t>, conforme arts. 225 y ccds. LCQ.</w:t>
      </w:r>
    </w:p>
    <w:p w:rsidR="00287724" w:rsidRDefault="00916EC4">
      <w:pPr>
        <w:spacing w:before="280" w:after="280" w:line="240" w:lineRule="auto"/>
        <w:jc w:val="right"/>
        <w:rPr>
          <w:rFonts w:ascii="Arial" w:eastAsia="Arial" w:hAnsi="Arial" w:cs="Arial"/>
          <w:b/>
          <w:sz w:val="22"/>
          <w:szCs w:val="22"/>
        </w:rPr>
      </w:pPr>
      <w:r>
        <w:rPr>
          <w:rFonts w:ascii="Arial" w:eastAsia="Arial" w:hAnsi="Arial" w:cs="Arial"/>
          <w:sz w:val="22"/>
          <w:szCs w:val="22"/>
        </w:rPr>
        <w:t>Proveer de conformidad,</w:t>
      </w:r>
      <w:r>
        <w:rPr>
          <w:rFonts w:ascii="Arial" w:eastAsia="Arial" w:hAnsi="Arial" w:cs="Arial"/>
          <w:sz w:val="22"/>
          <w:szCs w:val="22"/>
        </w:rPr>
        <w:br/>
      </w:r>
      <w:r>
        <w:rPr>
          <w:rFonts w:ascii="Arial" w:eastAsia="Arial" w:hAnsi="Arial" w:cs="Arial"/>
          <w:b/>
          <w:sz w:val="22"/>
          <w:szCs w:val="22"/>
        </w:rPr>
        <w:t>SERÁ JUSTICIA.</w:t>
      </w:r>
    </w:p>
    <w:p w:rsidR="00287724" w:rsidRDefault="00916EC4">
      <w:pPr>
        <w:rPr>
          <w:rFonts w:ascii="Arial" w:eastAsia="Arial" w:hAnsi="Arial" w:cs="Arial"/>
          <w:sz w:val="22"/>
          <w:szCs w:val="22"/>
        </w:rPr>
      </w:pPr>
      <w:r>
        <w:br w:type="page"/>
      </w:r>
    </w:p>
    <w:p w:rsidR="00287724" w:rsidRDefault="00287724">
      <w:pPr>
        <w:spacing w:after="0" w:line="360" w:lineRule="auto"/>
        <w:jc w:val="both"/>
        <w:rPr>
          <w:rFonts w:ascii="Arial" w:eastAsia="Arial" w:hAnsi="Arial" w:cs="Arial"/>
          <w:sz w:val="22"/>
          <w:szCs w:val="22"/>
        </w:rPr>
      </w:pPr>
    </w:p>
    <w:p w:rsidR="00287724" w:rsidRDefault="00287724">
      <w:pPr>
        <w:spacing w:after="0" w:line="360" w:lineRule="auto"/>
        <w:jc w:val="both"/>
        <w:rPr>
          <w:rFonts w:ascii="Arial" w:eastAsia="Arial" w:hAnsi="Arial" w:cs="Arial"/>
          <w:b/>
          <w:sz w:val="22"/>
          <w:szCs w:val="22"/>
        </w:rPr>
      </w:pPr>
    </w:p>
    <w:p w:rsidR="00287724" w:rsidRDefault="00916EC4">
      <w:pPr>
        <w:tabs>
          <w:tab w:val="left" w:pos="3735"/>
        </w:tabs>
        <w:spacing w:line="360" w:lineRule="auto"/>
        <w:jc w:val="center"/>
        <w:rPr>
          <w:rFonts w:ascii="Arial" w:eastAsia="Arial" w:hAnsi="Arial" w:cs="Arial"/>
          <w:b/>
          <w:sz w:val="22"/>
          <w:szCs w:val="22"/>
          <w:u w:val="single"/>
        </w:rPr>
      </w:pPr>
      <w:r>
        <w:rPr>
          <w:rFonts w:ascii="Arial" w:eastAsia="Arial" w:hAnsi="Arial" w:cs="Arial"/>
          <w:b/>
          <w:sz w:val="22"/>
          <w:szCs w:val="22"/>
          <w:u w:val="single"/>
        </w:rPr>
        <w:t>BIBLIOGRAFÍA</w:t>
      </w:r>
    </w:p>
    <w:p w:rsidR="00287724" w:rsidRDefault="00916EC4">
      <w:pPr>
        <w:numPr>
          <w:ilvl w:val="0"/>
          <w:numId w:val="9"/>
        </w:numPr>
        <w:pBdr>
          <w:top w:val="nil"/>
          <w:left w:val="nil"/>
          <w:bottom w:val="nil"/>
          <w:right w:val="nil"/>
          <w:between w:val="nil"/>
        </w:pBdr>
        <w:tabs>
          <w:tab w:val="left" w:pos="3735"/>
        </w:tabs>
        <w:spacing w:after="0" w:line="360" w:lineRule="auto"/>
        <w:jc w:val="both"/>
        <w:rPr>
          <w:color w:val="000000"/>
        </w:rPr>
      </w:pPr>
      <w:r>
        <w:rPr>
          <w:rFonts w:ascii="Arial" w:eastAsia="Arial" w:hAnsi="Arial" w:cs="Arial"/>
          <w:color w:val="000000"/>
          <w:sz w:val="22"/>
          <w:szCs w:val="22"/>
        </w:rPr>
        <w:t>Fallo de la Cámara Nacional de Apelaciones en lo Comercial, sa</w:t>
      </w:r>
      <w:r>
        <w:rPr>
          <w:rFonts w:ascii="Arial" w:eastAsia="Arial" w:hAnsi="Arial" w:cs="Arial"/>
          <w:color w:val="000000"/>
          <w:sz w:val="22"/>
          <w:szCs w:val="22"/>
        </w:rPr>
        <w:t xml:space="preserve">la B, Manuel Iñiguez SACIA s/ quiebra, 16 de septiembre de 2000 </w:t>
      </w:r>
      <w:r>
        <w:rPr>
          <w:rFonts w:ascii="Arial" w:eastAsia="Arial" w:hAnsi="Arial" w:cs="Arial"/>
          <w:b/>
          <w:color w:val="000000"/>
          <w:sz w:val="22"/>
          <w:szCs w:val="22"/>
        </w:rPr>
        <w:t xml:space="preserve">cita: </w:t>
      </w:r>
      <w:r>
        <w:rPr>
          <w:rFonts w:ascii="Arial" w:eastAsia="Arial" w:hAnsi="Arial" w:cs="Arial"/>
          <w:color w:val="000000"/>
          <w:sz w:val="22"/>
          <w:szCs w:val="22"/>
        </w:rPr>
        <w:t>MJ-JU-M-6432-AR|31.285/94|MJJ6432.</w:t>
      </w:r>
    </w:p>
    <w:p w:rsidR="00287724" w:rsidRDefault="00916EC4">
      <w:pPr>
        <w:numPr>
          <w:ilvl w:val="0"/>
          <w:numId w:val="9"/>
        </w:numPr>
        <w:pBdr>
          <w:top w:val="nil"/>
          <w:left w:val="nil"/>
          <w:bottom w:val="nil"/>
          <w:right w:val="nil"/>
          <w:between w:val="nil"/>
        </w:pBdr>
        <w:tabs>
          <w:tab w:val="left" w:pos="3735"/>
        </w:tabs>
        <w:spacing w:after="0" w:line="360" w:lineRule="auto"/>
        <w:jc w:val="both"/>
        <w:rPr>
          <w:color w:val="000000"/>
        </w:rPr>
      </w:pPr>
      <w:r>
        <w:rPr>
          <w:rFonts w:ascii="Arial" w:eastAsia="Arial" w:hAnsi="Arial" w:cs="Arial"/>
          <w:color w:val="000000"/>
          <w:sz w:val="22"/>
          <w:szCs w:val="22"/>
        </w:rPr>
        <w:t xml:space="preserve">Fallo de la Cámara Nacional de Apelaciones en lo Comercial, , "Schiselman Pablo Alberto s/ Quiebra, Incidente de Apelación", 11 de octubre de 2011, </w:t>
      </w:r>
      <w:r>
        <w:rPr>
          <w:rFonts w:ascii="Open Sans" w:eastAsia="Open Sans" w:hAnsi="Open Sans" w:cs="Open Sans"/>
          <w:b/>
          <w:color w:val="000000"/>
        </w:rPr>
        <w:t xml:space="preserve">cita: </w:t>
      </w:r>
      <w:r>
        <w:rPr>
          <w:rFonts w:ascii="Open Sans" w:eastAsia="Open Sans" w:hAnsi="Open Sans" w:cs="Open Sans"/>
          <w:color w:val="000000"/>
        </w:rPr>
        <w:t>MJ-JU-M-70270-AR||MJJ70270.</w:t>
      </w:r>
    </w:p>
    <w:p w:rsidR="00287724" w:rsidRDefault="00916EC4">
      <w:pPr>
        <w:numPr>
          <w:ilvl w:val="0"/>
          <w:numId w:val="9"/>
        </w:numPr>
        <w:pBdr>
          <w:top w:val="nil"/>
          <w:left w:val="nil"/>
          <w:bottom w:val="nil"/>
          <w:right w:val="nil"/>
          <w:between w:val="nil"/>
        </w:pBdr>
        <w:tabs>
          <w:tab w:val="left" w:pos="3735"/>
        </w:tabs>
        <w:spacing w:after="0" w:line="360" w:lineRule="auto"/>
        <w:jc w:val="both"/>
        <w:rPr>
          <w:color w:val="000000"/>
        </w:rPr>
      </w:pPr>
      <w:r>
        <w:rPr>
          <w:rFonts w:ascii="Arial" w:eastAsia="Arial" w:hAnsi="Arial" w:cs="Arial"/>
          <w:color w:val="000000"/>
          <w:sz w:val="22"/>
          <w:szCs w:val="22"/>
        </w:rPr>
        <w:t xml:space="preserve">Fallo de la Cámara Nacional de Apelaciones en lo Comercial, “Falcone María Josefa s/Quiebra”, 21 de octubre de 2013, </w:t>
      </w:r>
      <w:r>
        <w:rPr>
          <w:rFonts w:ascii="Arial" w:eastAsia="Arial" w:hAnsi="Arial" w:cs="Arial"/>
          <w:b/>
          <w:color w:val="000000"/>
          <w:sz w:val="22"/>
          <w:szCs w:val="22"/>
        </w:rPr>
        <w:t>cita:</w:t>
      </w:r>
      <w:r>
        <w:rPr>
          <w:rFonts w:ascii="Arial" w:eastAsia="Arial" w:hAnsi="Arial" w:cs="Arial"/>
          <w:color w:val="000000"/>
          <w:sz w:val="22"/>
          <w:szCs w:val="22"/>
        </w:rPr>
        <w:t xml:space="preserve"> MJ-JU-M-83235-AR//MJJ83235.</w:t>
      </w:r>
    </w:p>
    <w:p w:rsidR="00287724" w:rsidRDefault="00916EC4">
      <w:pPr>
        <w:numPr>
          <w:ilvl w:val="0"/>
          <w:numId w:val="9"/>
        </w:numPr>
        <w:pBdr>
          <w:top w:val="nil"/>
          <w:left w:val="nil"/>
          <w:bottom w:val="nil"/>
          <w:right w:val="nil"/>
          <w:between w:val="nil"/>
        </w:pBdr>
        <w:tabs>
          <w:tab w:val="left" w:pos="3735"/>
        </w:tabs>
        <w:spacing w:line="360" w:lineRule="auto"/>
        <w:jc w:val="both"/>
        <w:rPr>
          <w:color w:val="000000"/>
        </w:rPr>
      </w:pPr>
      <w:r>
        <w:rPr>
          <w:color w:val="000000"/>
        </w:rPr>
        <w:t xml:space="preserve">Fallo de la Cámara Nacional de Apelaciones en lo Comercial, “Carus Ramona s/ quiebra”, 24 de junio de 2019, </w:t>
      </w:r>
      <w:r>
        <w:rPr>
          <w:b/>
          <w:color w:val="000000"/>
        </w:rPr>
        <w:t>cita</w:t>
      </w:r>
      <w:r>
        <w:rPr>
          <w:color w:val="000000"/>
        </w:rPr>
        <w:t>: TR LALEY AR/DOC/2965/2019.</w:t>
      </w:r>
    </w:p>
    <w:p w:rsidR="00287724" w:rsidRDefault="00916EC4">
      <w:pPr>
        <w:numPr>
          <w:ilvl w:val="0"/>
          <w:numId w:val="9"/>
        </w:numPr>
        <w:pBdr>
          <w:top w:val="nil"/>
          <w:left w:val="nil"/>
          <w:bottom w:val="nil"/>
          <w:right w:val="nil"/>
          <w:between w:val="nil"/>
        </w:pBdr>
        <w:spacing w:after="0" w:line="360" w:lineRule="auto"/>
        <w:rPr>
          <w:color w:val="000000"/>
        </w:rPr>
      </w:pPr>
      <w:r>
        <w:rPr>
          <w:rFonts w:ascii="Arial" w:eastAsia="Arial" w:hAnsi="Arial" w:cs="Arial"/>
          <w:color w:val="000000"/>
          <w:sz w:val="22"/>
          <w:szCs w:val="22"/>
        </w:rPr>
        <w:t>Graziabile, Darío J., Instituciones de Derecho Concursal, 1º Edición, Ciudad Autónoma de Buenos Aires: La Ley 2018.</w:t>
      </w:r>
    </w:p>
    <w:p w:rsidR="00287724" w:rsidRDefault="00916EC4">
      <w:pPr>
        <w:numPr>
          <w:ilvl w:val="0"/>
          <w:numId w:val="9"/>
        </w:numPr>
        <w:pBdr>
          <w:top w:val="nil"/>
          <w:left w:val="nil"/>
          <w:bottom w:val="nil"/>
          <w:right w:val="nil"/>
          <w:between w:val="nil"/>
        </w:pBdr>
        <w:spacing w:after="0" w:line="360" w:lineRule="auto"/>
        <w:rPr>
          <w:color w:val="000000"/>
        </w:rPr>
      </w:pPr>
      <w:r>
        <w:rPr>
          <w:rFonts w:ascii="Arial" w:eastAsia="Arial" w:hAnsi="Arial" w:cs="Arial"/>
          <w:color w:val="000000"/>
          <w:sz w:val="22"/>
          <w:szCs w:val="22"/>
        </w:rPr>
        <w:t>Osso, María C., “La Oponibilidad del Boleto de Compraventa de Inmuebles a la Luz del Nuevo Código Civil y Comercial de la Nación”, Doctrina Societaria y Concursal ERREPAR (DSCE), FEBRERO 2017.</w:t>
      </w:r>
    </w:p>
    <w:p w:rsidR="00287724" w:rsidRDefault="00916EC4">
      <w:pPr>
        <w:numPr>
          <w:ilvl w:val="0"/>
          <w:numId w:val="9"/>
        </w:numPr>
        <w:pBdr>
          <w:top w:val="nil"/>
          <w:left w:val="nil"/>
          <w:bottom w:val="nil"/>
          <w:right w:val="nil"/>
          <w:between w:val="nil"/>
        </w:pBdr>
        <w:spacing w:after="0" w:line="360" w:lineRule="auto"/>
        <w:rPr>
          <w:color w:val="000000"/>
        </w:rPr>
      </w:pPr>
      <w:r>
        <w:rPr>
          <w:rFonts w:ascii="Arial" w:eastAsia="Arial" w:hAnsi="Arial" w:cs="Arial"/>
          <w:color w:val="000000"/>
          <w:sz w:val="22"/>
          <w:szCs w:val="22"/>
        </w:rPr>
        <w:t>Achares Di Orio, Federico, “Consideraciones en Torno a la Opon</w:t>
      </w:r>
      <w:r>
        <w:rPr>
          <w:rFonts w:ascii="Arial" w:eastAsia="Arial" w:hAnsi="Arial" w:cs="Arial"/>
          <w:color w:val="000000"/>
          <w:sz w:val="22"/>
          <w:szCs w:val="22"/>
        </w:rPr>
        <w:t>ibilidad del Boleto de Compraventa Registral en el Nuevo Código Civil y Comercial, Doctrina Societaria y Concursal (DSCE), Tomo XXVII, Julio 2015.</w:t>
      </w:r>
    </w:p>
    <w:p w:rsidR="00287724" w:rsidRDefault="00916EC4">
      <w:pPr>
        <w:numPr>
          <w:ilvl w:val="0"/>
          <w:numId w:val="9"/>
        </w:numPr>
        <w:pBdr>
          <w:top w:val="nil"/>
          <w:left w:val="nil"/>
          <w:bottom w:val="nil"/>
          <w:right w:val="nil"/>
          <w:between w:val="nil"/>
        </w:pBdr>
        <w:tabs>
          <w:tab w:val="left" w:pos="3735"/>
        </w:tabs>
        <w:spacing w:after="0" w:line="360" w:lineRule="auto"/>
        <w:jc w:val="both"/>
        <w:rPr>
          <w:color w:val="000000"/>
        </w:rPr>
      </w:pPr>
      <w:r>
        <w:rPr>
          <w:rFonts w:ascii="Arial" w:eastAsia="Arial" w:hAnsi="Arial" w:cs="Arial"/>
          <w:color w:val="000000"/>
          <w:sz w:val="22"/>
          <w:szCs w:val="22"/>
        </w:rPr>
        <w:t>Ley 24.522 de Concursos y Quiebras.</w:t>
      </w:r>
    </w:p>
    <w:p w:rsidR="00287724" w:rsidRDefault="00916EC4">
      <w:pPr>
        <w:numPr>
          <w:ilvl w:val="0"/>
          <w:numId w:val="9"/>
        </w:numPr>
        <w:pBdr>
          <w:top w:val="nil"/>
          <w:left w:val="nil"/>
          <w:bottom w:val="nil"/>
          <w:right w:val="nil"/>
          <w:between w:val="nil"/>
        </w:pBdr>
        <w:tabs>
          <w:tab w:val="left" w:pos="3735"/>
        </w:tabs>
        <w:spacing w:after="0" w:line="360" w:lineRule="auto"/>
        <w:jc w:val="both"/>
        <w:rPr>
          <w:color w:val="000000"/>
        </w:rPr>
      </w:pPr>
      <w:r>
        <w:rPr>
          <w:rFonts w:ascii="Arial" w:eastAsia="Arial" w:hAnsi="Arial" w:cs="Arial"/>
          <w:color w:val="000000"/>
          <w:sz w:val="22"/>
          <w:szCs w:val="22"/>
        </w:rPr>
        <w:t xml:space="preserve">Ley 26.994: Nuevo Código Civil y Comercial de la Nación. </w:t>
      </w:r>
    </w:p>
    <w:p w:rsidR="00287724" w:rsidRDefault="00916EC4">
      <w:pPr>
        <w:numPr>
          <w:ilvl w:val="0"/>
          <w:numId w:val="9"/>
        </w:numPr>
        <w:pBdr>
          <w:top w:val="nil"/>
          <w:left w:val="nil"/>
          <w:bottom w:val="nil"/>
          <w:right w:val="nil"/>
          <w:between w:val="nil"/>
        </w:pBdr>
        <w:spacing w:after="0" w:line="360" w:lineRule="auto"/>
        <w:ind w:right="105"/>
        <w:jc w:val="both"/>
        <w:rPr>
          <w:color w:val="000000"/>
        </w:rPr>
      </w:pPr>
      <w:r>
        <w:rPr>
          <w:rFonts w:ascii="Arial" w:eastAsia="Arial" w:hAnsi="Arial" w:cs="Arial"/>
          <w:color w:val="000000"/>
          <w:sz w:val="22"/>
          <w:szCs w:val="22"/>
        </w:rPr>
        <w:t>Quintana Ferreyra: “Concursos…” - T. I - pág. 523, citado por Médici, Rubén: “Verificación de créditos”, en Raspall, Miguel Ángel y Médici, Rubén (Dir.) - Ed. Juris - Rosario - 2008 - T. I - pág. 417.</w:t>
      </w:r>
    </w:p>
    <w:p w:rsidR="00287724" w:rsidRDefault="00916EC4">
      <w:pPr>
        <w:numPr>
          <w:ilvl w:val="0"/>
          <w:numId w:val="9"/>
        </w:numPr>
        <w:pBdr>
          <w:top w:val="nil"/>
          <w:left w:val="nil"/>
          <w:bottom w:val="nil"/>
          <w:right w:val="nil"/>
          <w:between w:val="nil"/>
        </w:pBdr>
        <w:spacing w:after="0" w:line="360" w:lineRule="auto"/>
        <w:ind w:right="105"/>
        <w:jc w:val="both"/>
        <w:rPr>
          <w:color w:val="000000"/>
        </w:rPr>
      </w:pPr>
      <w:bookmarkStart w:id="11" w:name="c0mc52u1rvxu" w:colFirst="0" w:colLast="0"/>
      <w:bookmarkEnd w:id="11"/>
      <w:r>
        <w:rPr>
          <w:rFonts w:ascii="Arial" w:eastAsia="Arial" w:hAnsi="Arial" w:cs="Arial"/>
          <w:color w:val="000000"/>
          <w:sz w:val="22"/>
          <w:szCs w:val="22"/>
        </w:rPr>
        <w:t>Fallo: “Fernández, Ángel c/Coviram, Ltda. s/incidente d</w:t>
      </w:r>
      <w:r>
        <w:rPr>
          <w:rFonts w:ascii="Arial" w:eastAsia="Arial" w:hAnsi="Arial" w:cs="Arial"/>
          <w:color w:val="000000"/>
          <w:sz w:val="22"/>
          <w:szCs w:val="22"/>
        </w:rPr>
        <w:t>e revisión s/incidente de casación” - SC Just. Mendoza - 30/05/1996 - LLO - AR/JUR/3023/1996.</w:t>
      </w:r>
    </w:p>
    <w:p w:rsidR="00287724" w:rsidRDefault="00916EC4">
      <w:pPr>
        <w:numPr>
          <w:ilvl w:val="0"/>
          <w:numId w:val="9"/>
        </w:numPr>
        <w:pBdr>
          <w:top w:val="nil"/>
          <w:left w:val="nil"/>
          <w:bottom w:val="nil"/>
          <w:right w:val="nil"/>
          <w:between w:val="nil"/>
        </w:pBdr>
        <w:tabs>
          <w:tab w:val="left" w:pos="3735"/>
        </w:tabs>
        <w:spacing w:after="0" w:line="360" w:lineRule="auto"/>
        <w:jc w:val="both"/>
        <w:rPr>
          <w:color w:val="000000"/>
        </w:rPr>
      </w:pPr>
      <w:r>
        <w:rPr>
          <w:rFonts w:ascii="Arial" w:eastAsia="Arial" w:hAnsi="Arial" w:cs="Arial"/>
          <w:color w:val="000000"/>
          <w:sz w:val="22"/>
          <w:szCs w:val="22"/>
        </w:rPr>
        <w:t>VÍTOLO, Daniel R., "Concursos...", ob. cit., p. 581; VÍTOLO, Daniel R., "Elementos...", ob. cit., p. 269; VÍTOLO, Daniel R., "Derecho...", ob. cit., p. 323.</w:t>
      </w:r>
    </w:p>
    <w:p w:rsidR="00287724" w:rsidRDefault="00916EC4">
      <w:pPr>
        <w:numPr>
          <w:ilvl w:val="0"/>
          <w:numId w:val="9"/>
        </w:numPr>
        <w:pBdr>
          <w:top w:val="nil"/>
          <w:left w:val="nil"/>
          <w:bottom w:val="nil"/>
          <w:right w:val="nil"/>
          <w:between w:val="nil"/>
        </w:pBdr>
        <w:shd w:val="clear" w:color="auto" w:fill="FFFFFF"/>
        <w:spacing w:after="0" w:line="360" w:lineRule="auto"/>
        <w:rPr>
          <w:color w:val="000000"/>
        </w:rPr>
      </w:pPr>
      <w:r>
        <w:rPr>
          <w:rFonts w:ascii="Arial" w:eastAsia="Arial" w:hAnsi="Arial" w:cs="Arial"/>
          <w:color w:val="000000"/>
          <w:sz w:val="22"/>
          <w:szCs w:val="22"/>
        </w:rPr>
        <w:t>GRAZI</w:t>
      </w:r>
      <w:r>
        <w:rPr>
          <w:rFonts w:ascii="Arial" w:eastAsia="Arial" w:hAnsi="Arial" w:cs="Arial"/>
          <w:color w:val="000000"/>
          <w:sz w:val="22"/>
          <w:szCs w:val="22"/>
        </w:rPr>
        <w:t>ABILE, Darío J. (dir,) - LOIZA, Fabián, "Comentario al art. 228 de la LC", en Régimen concursal. Ley 24.522, actualizada y comentada, Ed. Abeledo Perrot, Buenos Aires, t. IV, ps. 313 - 314.</w:t>
      </w:r>
    </w:p>
    <w:p w:rsidR="00287724" w:rsidRDefault="00916EC4">
      <w:pPr>
        <w:numPr>
          <w:ilvl w:val="0"/>
          <w:numId w:val="9"/>
        </w:numPr>
        <w:pBdr>
          <w:top w:val="nil"/>
          <w:left w:val="nil"/>
          <w:bottom w:val="nil"/>
          <w:right w:val="nil"/>
          <w:between w:val="nil"/>
        </w:pBdr>
        <w:shd w:val="clear" w:color="auto" w:fill="FFFFFF"/>
        <w:spacing w:after="0" w:line="240" w:lineRule="auto"/>
        <w:rPr>
          <w:color w:val="000000"/>
        </w:rPr>
      </w:pPr>
      <w:r>
        <w:rPr>
          <w:rFonts w:ascii="knowledgeLight" w:eastAsia="knowledgeLight" w:hAnsi="knowledgeLight" w:cs="knowledgeLight"/>
          <w:color w:val="000000"/>
          <w:sz w:val="27"/>
          <w:szCs w:val="27"/>
        </w:rPr>
        <w:t>Gerbaudo, Germán E.</w:t>
      </w:r>
      <w:r>
        <w:rPr>
          <w:rFonts w:ascii="Ledger" w:eastAsia="Ledger" w:hAnsi="Ledger" w:cs="Ledger"/>
          <w:smallCaps/>
          <w:color w:val="000000"/>
          <w:sz w:val="36"/>
          <w:szCs w:val="36"/>
        </w:rPr>
        <w:t xml:space="preserve"> </w:t>
      </w:r>
      <w:r>
        <w:rPr>
          <w:rFonts w:ascii="knowledgeLight" w:eastAsia="knowledgeLight" w:hAnsi="knowledgeLight" w:cs="knowledgeLight"/>
          <w:color w:val="000000"/>
          <w:sz w:val="27"/>
          <w:szCs w:val="27"/>
        </w:rPr>
        <w:t xml:space="preserve">CONCLUSIÓN DE LA QUIEBRA POR AVENIMIENTO. EFECTOS SOBRE LOS ACREEDORES. </w:t>
      </w:r>
      <w:r>
        <w:rPr>
          <w:rFonts w:ascii="knowledgeLight" w:eastAsia="knowledgeLight" w:hAnsi="knowledgeLight" w:cs="knowledgeLight"/>
          <w:color w:val="000000"/>
        </w:rPr>
        <w:t>Publicado en: SJA 15/11/2017 , 1  • JA 2017-IV , 1165  • RDCO 287 , 1581, Cita: TR LALEY AR/DOC/3949/2017.</w:t>
      </w:r>
    </w:p>
    <w:p w:rsidR="00287724" w:rsidRDefault="00916EC4">
      <w:pPr>
        <w:numPr>
          <w:ilvl w:val="0"/>
          <w:numId w:val="9"/>
        </w:numPr>
        <w:pBdr>
          <w:top w:val="nil"/>
          <w:left w:val="nil"/>
          <w:bottom w:val="nil"/>
          <w:right w:val="nil"/>
          <w:between w:val="nil"/>
        </w:pBdr>
        <w:shd w:val="clear" w:color="auto" w:fill="FFFFFF"/>
        <w:spacing w:after="0"/>
        <w:rPr>
          <w:color w:val="000000"/>
        </w:rPr>
      </w:pPr>
      <w:r>
        <w:rPr>
          <w:rFonts w:ascii="Arial" w:eastAsia="Arial" w:hAnsi="Arial" w:cs="Arial"/>
          <w:color w:val="000000"/>
          <w:sz w:val="22"/>
          <w:szCs w:val="22"/>
        </w:rPr>
        <w:t>ALEGRÍA, Javier, "Notas sobre el avenimiento concursal", en Concursos y quieb</w:t>
      </w:r>
      <w:r>
        <w:rPr>
          <w:rFonts w:ascii="Arial" w:eastAsia="Arial" w:hAnsi="Arial" w:cs="Arial"/>
          <w:color w:val="000000"/>
          <w:sz w:val="22"/>
          <w:szCs w:val="22"/>
        </w:rPr>
        <w:t>ras. Estudios en homenaje al Dr. Ricardo S. Prono, Ed. Rubinzal-Culzoni, Santa Fe, Facultad de Ciencias Jurídicas y Sociales, Universidad Nacional del Litoral, 2011, p. 63.</w:t>
      </w:r>
    </w:p>
    <w:p w:rsidR="00287724" w:rsidRDefault="00916EC4">
      <w:pPr>
        <w:numPr>
          <w:ilvl w:val="0"/>
          <w:numId w:val="9"/>
        </w:numPr>
        <w:pBdr>
          <w:top w:val="nil"/>
          <w:left w:val="nil"/>
          <w:bottom w:val="nil"/>
          <w:right w:val="nil"/>
          <w:between w:val="nil"/>
        </w:pBdr>
        <w:spacing w:after="0" w:line="240" w:lineRule="auto"/>
        <w:rPr>
          <w:color w:val="000000"/>
        </w:rPr>
      </w:pPr>
      <w:r>
        <w:rPr>
          <w:rFonts w:ascii="Arial" w:eastAsia="Arial" w:hAnsi="Arial" w:cs="Arial"/>
          <w:color w:val="000000"/>
          <w:sz w:val="22"/>
          <w:szCs w:val="22"/>
        </w:rPr>
        <w:t>Fisco Nacional c/ Bravo José Alberto s/ incidente de revisión”, CNCom., sala E, 24/</w:t>
      </w:r>
      <w:r>
        <w:rPr>
          <w:rFonts w:ascii="Arial" w:eastAsia="Arial" w:hAnsi="Arial" w:cs="Arial"/>
          <w:color w:val="000000"/>
          <w:sz w:val="22"/>
          <w:szCs w:val="22"/>
        </w:rPr>
        <w:t>02/2017.</w:t>
      </w:r>
    </w:p>
    <w:p w:rsidR="00287724" w:rsidRDefault="00916EC4">
      <w:pPr>
        <w:numPr>
          <w:ilvl w:val="0"/>
          <w:numId w:val="9"/>
        </w:numPr>
        <w:pBdr>
          <w:top w:val="nil"/>
          <w:left w:val="nil"/>
          <w:bottom w:val="nil"/>
          <w:right w:val="nil"/>
          <w:between w:val="nil"/>
        </w:pBdr>
        <w:tabs>
          <w:tab w:val="left" w:pos="3735"/>
        </w:tabs>
        <w:spacing w:after="0" w:line="360" w:lineRule="auto"/>
        <w:jc w:val="both"/>
        <w:rPr>
          <w:color w:val="000000"/>
        </w:rPr>
      </w:pPr>
      <w:r>
        <w:rPr>
          <w:rFonts w:ascii="Arial" w:eastAsia="Arial" w:hAnsi="Arial" w:cs="Arial"/>
          <w:color w:val="000000"/>
          <w:sz w:val="22"/>
          <w:szCs w:val="22"/>
        </w:rPr>
        <w:t>Maffia Osvaldo J., Buuenos Aires, Depalma,1994.</w:t>
      </w:r>
    </w:p>
    <w:p w:rsidR="00287724" w:rsidRDefault="00916EC4">
      <w:pPr>
        <w:numPr>
          <w:ilvl w:val="0"/>
          <w:numId w:val="9"/>
        </w:numPr>
        <w:pBdr>
          <w:top w:val="nil"/>
          <w:left w:val="nil"/>
          <w:bottom w:val="nil"/>
          <w:right w:val="nil"/>
          <w:between w:val="nil"/>
        </w:pBdr>
        <w:tabs>
          <w:tab w:val="left" w:pos="3735"/>
        </w:tabs>
        <w:spacing w:after="0" w:line="360" w:lineRule="auto"/>
        <w:jc w:val="both"/>
        <w:rPr>
          <w:color w:val="000000"/>
        </w:rPr>
      </w:pPr>
      <w:r>
        <w:rPr>
          <w:rFonts w:ascii="Arial" w:eastAsia="Arial" w:hAnsi="Arial" w:cs="Arial"/>
          <w:color w:val="000000"/>
          <w:sz w:val="22"/>
          <w:szCs w:val="22"/>
        </w:rPr>
        <w:t>Martorell, El Concurso Preventivo y la Quiebra, Buenos Aires, Abeledo Perrot, 2007.</w:t>
      </w:r>
    </w:p>
    <w:p w:rsidR="00287724" w:rsidRDefault="00287724">
      <w:pPr>
        <w:pBdr>
          <w:top w:val="nil"/>
          <w:left w:val="nil"/>
          <w:bottom w:val="nil"/>
          <w:right w:val="nil"/>
          <w:between w:val="nil"/>
        </w:pBdr>
        <w:tabs>
          <w:tab w:val="left" w:pos="3735"/>
        </w:tabs>
        <w:spacing w:line="360" w:lineRule="auto"/>
        <w:ind w:left="720"/>
        <w:jc w:val="both"/>
        <w:rPr>
          <w:rFonts w:ascii="Arial" w:eastAsia="Arial" w:hAnsi="Arial" w:cs="Arial"/>
          <w:color w:val="000000"/>
          <w:sz w:val="22"/>
          <w:szCs w:val="22"/>
        </w:rPr>
      </w:pPr>
    </w:p>
    <w:p w:rsidR="00287724" w:rsidRDefault="00287724">
      <w:pPr>
        <w:pBdr>
          <w:top w:val="nil"/>
          <w:left w:val="nil"/>
          <w:bottom w:val="nil"/>
          <w:right w:val="nil"/>
          <w:between w:val="nil"/>
        </w:pBdr>
        <w:spacing w:after="0" w:line="240" w:lineRule="auto"/>
        <w:ind w:left="360"/>
        <w:rPr>
          <w:color w:val="000000"/>
          <w:sz w:val="20"/>
          <w:szCs w:val="20"/>
        </w:rPr>
      </w:pPr>
    </w:p>
    <w:p w:rsidR="00287724" w:rsidRDefault="00287724">
      <w:pPr>
        <w:tabs>
          <w:tab w:val="left" w:pos="3735"/>
        </w:tabs>
        <w:spacing w:line="360" w:lineRule="auto"/>
        <w:jc w:val="center"/>
        <w:rPr>
          <w:sz w:val="36"/>
          <w:szCs w:val="36"/>
          <w:u w:val="single"/>
        </w:rPr>
      </w:pPr>
    </w:p>
    <w:sectPr w:rsidR="00287724">
      <w:headerReference w:type="default" r:id="rId9"/>
      <w:footerReference w:type="default" r:id="rId10"/>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6EC4" w:rsidRDefault="00916EC4">
      <w:pPr>
        <w:spacing w:after="0" w:line="240" w:lineRule="auto"/>
      </w:pPr>
      <w:r>
        <w:separator/>
      </w:r>
    </w:p>
  </w:endnote>
  <w:endnote w:type="continuationSeparator" w:id="0">
    <w:p w:rsidR="00916EC4" w:rsidRDefault="00916E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Times New Roman"/>
    <w:charset w:val="00"/>
    <w:family w:val="auto"/>
    <w:pitch w:val="default"/>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w:altName w:val="Times New Roman"/>
    <w:charset w:val="00"/>
    <w:family w:val="auto"/>
    <w:pitch w:val="default"/>
  </w:font>
  <w:font w:name="Play">
    <w:charset w:val="00"/>
    <w:family w:val="auto"/>
    <w:pitch w:val="default"/>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altName w:val="Times New Roman"/>
    <w:charset w:val="00"/>
    <w:family w:val="auto"/>
    <w:pitch w:val="default"/>
  </w:font>
  <w:font w:name="Quattrocento Sans">
    <w:altName w:val="Times New Roman"/>
    <w:charset w:val="00"/>
    <w:family w:val="auto"/>
    <w:pitch w:val="default"/>
  </w:font>
  <w:font w:name="knowledgeLight">
    <w:altName w:val="Times New Roman"/>
    <w:charset w:val="00"/>
    <w:family w:val="auto"/>
    <w:pitch w:val="default"/>
  </w:font>
  <w:font w:name="Ledger">
    <w:altName w:val="Times New Roman"/>
    <w:charset w:val="00"/>
    <w:family w:val="auto"/>
    <w:pitch w:val="default"/>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724" w:rsidRDefault="00916EC4">
    <w:pPr>
      <w:pBdr>
        <w:top w:val="nil"/>
        <w:left w:val="nil"/>
        <w:bottom w:val="nil"/>
        <w:right w:val="nil"/>
        <w:between w:val="nil"/>
      </w:pBdr>
      <w:tabs>
        <w:tab w:val="center" w:pos="4252"/>
        <w:tab w:val="right" w:pos="8504"/>
      </w:tabs>
      <w:spacing w:after="0" w:line="240" w:lineRule="auto"/>
      <w:rPr>
        <w:color w:val="000000"/>
      </w:rPr>
    </w:pPr>
    <w:r>
      <w:rPr>
        <w:noProof/>
      </w:rPr>
      <mc:AlternateContent>
        <mc:Choice Requires="wps">
          <w:drawing>
            <wp:anchor distT="0" distB="0" distL="114300" distR="114300" simplePos="0" relativeHeight="251658240" behindDoc="0" locked="0" layoutInCell="1" hidden="0" allowOverlap="1">
              <wp:simplePos x="0" y="0"/>
              <wp:positionH relativeFrom="column">
                <wp:posOffset>1</wp:posOffset>
              </wp:positionH>
              <wp:positionV relativeFrom="paragraph">
                <wp:posOffset>0</wp:posOffset>
              </wp:positionV>
              <wp:extent cx="368300" cy="274320"/>
              <wp:effectExtent l="9525" t="9525" r="12700" b="11430"/>
              <wp:wrapNone/>
              <wp:docPr id="1" name="1 Esquina doblada"/>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rgbClr val="808080"/>
                        </a:solidFill>
                        <a:round/>
                        <a:headEnd/>
                        <a:tailEnd/>
                      </a:ln>
                    </wps:spPr>
                    <wps:txbx>
                      <w:txbxContent>
                        <w:p w:rsidR="008C3F0D" w:rsidRDefault="00916EC4">
                          <w:pPr>
                            <w:jc w:val="center"/>
                          </w:pPr>
                          <w:r>
                            <w:rPr>
                              <w:sz w:val="22"/>
                              <w:szCs w:val="22"/>
                            </w:rPr>
                            <w:fldChar w:fldCharType="begin"/>
                          </w:r>
                          <w:r>
                            <w:instrText>PAGE    \* MERGEFORMAT</w:instrText>
                          </w:r>
                          <w:r>
                            <w:rPr>
                              <w:sz w:val="22"/>
                              <w:szCs w:val="22"/>
                            </w:rPr>
                            <w:fldChar w:fldCharType="separate"/>
                          </w:r>
                          <w:r w:rsidRPr="00916EC4">
                            <w:rPr>
                              <w:noProof/>
                              <w:sz w:val="16"/>
                              <w:szCs w:val="16"/>
                              <w:lang w:val="es-ES"/>
                            </w:rPr>
                            <w:t>1</w:t>
                          </w:r>
                          <w:r>
                            <w:rPr>
                              <w:sz w:val="16"/>
                              <w:szCs w:val="16"/>
                            </w:rPr>
                            <w:fldChar w:fldCharType="end"/>
                          </w:r>
                        </w:p>
                      </w:txbxContent>
                    </wps:txbx>
                    <wps:bodyPr rot="0" vert="horz" wrap="square" lIns="91440" tIns="45720" rIns="91440" bIns="45720" anchor="t" anchorCtr="0" upright="1">
                      <a:noAutofit/>
                    </wps:bodyPr>
                  </wps:wsp>
                </a:graphicData>
              </a:graphic>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1 Esquina doblada" o:spid="_x0000_s1026" type="#_x0000_t65" style="position:absolute;margin-left:0;margin-top:0;width:29pt;height:21.6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" adj="14135" strokecolor="gray" strokeweight=".25pt">
              <v:textbox>
                <w:txbxContent>
                  <w:p w:rsidR="008C3F0D" w:rsidRDefault="00916EC4">
                    <w:pPr>
                      <w:jc w:val="center"/>
                    </w:pPr>
                    <w:r>
                      <w:rPr>
                        <w:sz w:val="22"/>
                        <w:szCs w:val="22"/>
                      </w:rPr>
                      <w:fldChar w:fldCharType="begin"/>
                    </w:r>
                    <w:r>
                      <w:instrText>PAGE    \* MERGEFORMAT</w:instrText>
                    </w:r>
                    <w:r>
                      <w:rPr>
                        <w:sz w:val="22"/>
                        <w:szCs w:val="22"/>
                      </w:rPr>
                      <w:fldChar w:fldCharType="separate"/>
                    </w:r>
                    <w:r w:rsidRPr="00916EC4">
                      <w:rPr>
                        <w:noProof/>
                        <w:sz w:val="16"/>
                        <w:szCs w:val="16"/>
                        <w:lang w:val="es-ES"/>
                      </w:rPr>
                      <w:t>1</w:t>
                    </w:r>
                    <w:r>
                      <w:rPr>
                        <w:sz w:val="16"/>
                        <w:szCs w:val="16"/>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6EC4" w:rsidRDefault="00916EC4">
      <w:pPr>
        <w:spacing w:after="0" w:line="240" w:lineRule="auto"/>
      </w:pPr>
      <w:r>
        <w:separator/>
      </w:r>
    </w:p>
  </w:footnote>
  <w:footnote w:type="continuationSeparator" w:id="0">
    <w:p w:rsidR="00916EC4" w:rsidRDefault="00916EC4">
      <w:pPr>
        <w:spacing w:after="0" w:line="240" w:lineRule="auto"/>
      </w:pPr>
      <w:r>
        <w:continuationSeparator/>
      </w:r>
    </w:p>
  </w:footnote>
  <w:footnote w:id="1">
    <w:p w:rsidR="00287724" w:rsidRDefault="00916EC4">
      <w:pPr>
        <w:numPr>
          <w:ilvl w:val="0"/>
          <w:numId w:val="9"/>
        </w:numPr>
        <w:pBdr>
          <w:top w:val="nil"/>
          <w:left w:val="nil"/>
          <w:bottom w:val="nil"/>
          <w:right w:val="nil"/>
          <w:between w:val="nil"/>
        </w:pBdr>
        <w:tabs>
          <w:tab w:val="left" w:pos="3735"/>
        </w:tabs>
        <w:spacing w:line="360" w:lineRule="auto"/>
        <w:rPr>
          <w:color w:val="000000"/>
        </w:rPr>
      </w:pPr>
      <w:r>
        <w:rPr>
          <w:vertAlign w:val="superscript"/>
        </w:rPr>
        <w:footnoteRef/>
      </w:r>
      <w:r>
        <w:rPr>
          <w:color w:val="000000"/>
        </w:rPr>
        <w:t xml:space="preserve"> </w:t>
      </w:r>
      <w:r>
        <w:rPr>
          <w:rFonts w:ascii="Arial" w:eastAsia="Arial" w:hAnsi="Arial" w:cs="Arial"/>
          <w:color w:val="000000"/>
          <w:sz w:val="16"/>
          <w:szCs w:val="16"/>
        </w:rPr>
        <w:t xml:space="preserve">Fallo de la </w:t>
      </w:r>
      <w:r>
        <w:rPr>
          <w:rFonts w:ascii="Open Sans" w:eastAsia="Open Sans" w:hAnsi="Open Sans" w:cs="Open Sans"/>
          <w:color w:val="000000"/>
          <w:sz w:val="16"/>
          <w:szCs w:val="16"/>
        </w:rPr>
        <w:t xml:space="preserve">Cámara Nacional de Apelaciones en lo </w:t>
      </w:r>
      <w:r>
        <w:rPr>
          <w:rFonts w:ascii="Arial" w:eastAsia="Arial" w:hAnsi="Arial" w:cs="Arial"/>
          <w:color w:val="000000"/>
          <w:sz w:val="16"/>
          <w:szCs w:val="16"/>
        </w:rPr>
        <w:t xml:space="preserve">Comercial, sala B, </w:t>
      </w:r>
      <w:r>
        <w:rPr>
          <w:rFonts w:ascii="Open Sans" w:eastAsia="Open Sans" w:hAnsi="Open Sans" w:cs="Open Sans"/>
          <w:color w:val="000000"/>
          <w:sz w:val="16"/>
          <w:szCs w:val="16"/>
        </w:rPr>
        <w:t xml:space="preserve">Manuel Iñiguez SACIA s/ quiebra, </w:t>
      </w:r>
      <w:r>
        <w:rPr>
          <w:rFonts w:ascii="Arial" w:eastAsia="Arial" w:hAnsi="Arial" w:cs="Arial"/>
          <w:color w:val="000000"/>
          <w:sz w:val="16"/>
          <w:szCs w:val="16"/>
        </w:rPr>
        <w:t xml:space="preserve">16 de septiembre de 2000, </w:t>
      </w:r>
      <w:r>
        <w:rPr>
          <w:rFonts w:ascii="Open Sans" w:eastAsia="Open Sans" w:hAnsi="Open Sans" w:cs="Open Sans"/>
          <w:b/>
          <w:color w:val="000000"/>
          <w:sz w:val="16"/>
          <w:szCs w:val="16"/>
        </w:rPr>
        <w:t xml:space="preserve">cita: </w:t>
      </w:r>
      <w:r>
        <w:rPr>
          <w:rFonts w:ascii="Open Sans" w:eastAsia="Open Sans" w:hAnsi="Open Sans" w:cs="Open Sans"/>
          <w:color w:val="000000"/>
          <w:sz w:val="16"/>
          <w:szCs w:val="16"/>
        </w:rPr>
        <w:t>MJ-JU-M-6432-AR|31.285/94|MJJ6432.</w:t>
      </w:r>
    </w:p>
    <w:p w:rsidR="00287724" w:rsidRDefault="00287724">
      <w:pPr>
        <w:pBdr>
          <w:top w:val="nil"/>
          <w:left w:val="nil"/>
          <w:bottom w:val="nil"/>
          <w:right w:val="nil"/>
          <w:between w:val="nil"/>
        </w:pBdr>
        <w:spacing w:after="0" w:line="240" w:lineRule="auto"/>
        <w:rPr>
          <w:color w:val="000000"/>
          <w:sz w:val="20"/>
          <w:szCs w:val="20"/>
        </w:rPr>
      </w:pPr>
    </w:p>
  </w:footnote>
  <w:footnote w:id="2">
    <w:p w:rsidR="00287724" w:rsidRDefault="00916EC4">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Fallo de la Cámara Nacional de Apelaciones en lo Comercial, "Schiselman Pablo Alberto s/ Quiebra, Incidente de Apelación"</w:t>
      </w:r>
      <w:r>
        <w:rPr>
          <w:color w:val="000000"/>
          <w:sz w:val="20"/>
          <w:szCs w:val="20"/>
        </w:rPr>
        <w:t>, 11 de octubre de 2011, cita: MJ-JU-M-70270-AR||MJJ70270.</w:t>
      </w:r>
    </w:p>
  </w:footnote>
  <w:footnote w:id="3">
    <w:p w:rsidR="00287724" w:rsidRDefault="00916EC4">
      <w:pPr>
        <w:pBdr>
          <w:top w:val="nil"/>
          <w:left w:val="nil"/>
          <w:bottom w:val="nil"/>
          <w:right w:val="nil"/>
          <w:between w:val="nil"/>
        </w:pBdr>
        <w:spacing w:after="0" w:line="240" w:lineRule="auto"/>
        <w:rPr>
          <w:color w:val="000000"/>
          <w:sz w:val="20"/>
          <w:szCs w:val="20"/>
        </w:rPr>
      </w:pPr>
      <w:bookmarkStart w:id="1" w:name="_zgac1q11xrqu" w:colFirst="0" w:colLast="0"/>
      <w:bookmarkEnd w:id="1"/>
      <w:r>
        <w:rPr>
          <w:vertAlign w:val="superscript"/>
        </w:rPr>
        <w:footnoteRef/>
      </w:r>
      <w:r>
        <w:rPr>
          <w:color w:val="000000"/>
          <w:sz w:val="20"/>
          <w:szCs w:val="20"/>
        </w:rPr>
        <w:t xml:space="preserve"> Cámara Nacional de Apelaciones en lo Comercial, “Falcone María Josefa s/Quiebra”, 21 de octubre de 2013, cita: MJ-JU-M-83235-AR//MJJ83235.</w:t>
      </w:r>
    </w:p>
  </w:footnote>
  <w:footnote w:id="4">
    <w:p w:rsidR="00287724" w:rsidRDefault="00916EC4">
      <w:pPr>
        <w:pBdr>
          <w:top w:val="nil"/>
          <w:left w:val="nil"/>
          <w:bottom w:val="nil"/>
          <w:right w:val="nil"/>
          <w:between w:val="nil"/>
        </w:pBdr>
        <w:spacing w:after="0" w:line="240" w:lineRule="auto"/>
        <w:rPr>
          <w:color w:val="000000"/>
          <w:sz w:val="20"/>
          <w:szCs w:val="20"/>
        </w:rPr>
      </w:pPr>
      <w:bookmarkStart w:id="2" w:name="_lxn1ncaglwo5" w:colFirst="0" w:colLast="0"/>
      <w:bookmarkEnd w:id="2"/>
      <w:r>
        <w:rPr>
          <w:vertAlign w:val="superscript"/>
        </w:rPr>
        <w:footnoteRef/>
      </w:r>
      <w:r>
        <w:rPr>
          <w:color w:val="000000"/>
          <w:sz w:val="20"/>
          <w:szCs w:val="20"/>
        </w:rPr>
        <w:t xml:space="preserve"> Cámara Nacional de Apelaciones en lo Comercial, “Carus</w:t>
      </w:r>
      <w:r>
        <w:rPr>
          <w:color w:val="000000"/>
          <w:sz w:val="20"/>
          <w:szCs w:val="20"/>
        </w:rPr>
        <w:t xml:space="preserve"> Ramona s/ quiebra”, 24 de junio de 2019, cita: TR LALEY AR/DOC/2965/2019.</w:t>
      </w:r>
    </w:p>
  </w:footnote>
  <w:footnote w:id="5">
    <w:p w:rsidR="00287724" w:rsidRDefault="00916EC4">
      <w:pPr>
        <w:pBdr>
          <w:top w:val="nil"/>
          <w:left w:val="nil"/>
          <w:bottom w:val="nil"/>
          <w:right w:val="nil"/>
          <w:between w:val="nil"/>
        </w:pBdr>
        <w:spacing w:after="0" w:line="240" w:lineRule="auto"/>
        <w:rPr>
          <w:color w:val="000000"/>
          <w:sz w:val="20"/>
          <w:szCs w:val="20"/>
        </w:rPr>
      </w:pPr>
      <w:bookmarkStart w:id="3" w:name="_5ay80db0xsi9" w:colFirst="0" w:colLast="0"/>
      <w:bookmarkEnd w:id="3"/>
      <w:r>
        <w:rPr>
          <w:vertAlign w:val="superscript"/>
        </w:rPr>
        <w:footnoteRef/>
      </w:r>
      <w:r>
        <w:rPr>
          <w:color w:val="000000"/>
          <w:sz w:val="20"/>
          <w:szCs w:val="20"/>
        </w:rPr>
        <w:t xml:space="preserve"> Graziabile, Darío J., Instituciones de Derecho Concursal, 1º Edición, Ciudad Autónoma de Buenos Aires: La Ley 2018.</w:t>
      </w:r>
    </w:p>
  </w:footnote>
  <w:footnote w:id="6">
    <w:p w:rsidR="00287724" w:rsidRDefault="00916EC4">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Achares Di Orio, Federico, “Consideraciones en Torno a la Opo</w:t>
      </w:r>
      <w:r>
        <w:rPr>
          <w:color w:val="000000"/>
          <w:sz w:val="20"/>
          <w:szCs w:val="20"/>
        </w:rPr>
        <w:t>nibilidad del Boleto de Compraventa Registral en el Nuevo Código Civil y Comercial, Doctrina Societaria y Concursal (DSCE), Tomo XXVII, Julio 2015.-</w:t>
      </w:r>
    </w:p>
  </w:footnote>
  <w:footnote w:id="7">
    <w:p w:rsidR="00287724" w:rsidRDefault="00916EC4">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Fallo: “Fernández, Ángel c/Coviram, Ltda. s/incidente de revisión s/incidente de casación” - SC Just. Men</w:t>
      </w:r>
      <w:r>
        <w:rPr>
          <w:color w:val="000000"/>
          <w:sz w:val="20"/>
          <w:szCs w:val="20"/>
        </w:rPr>
        <w:t>doza - 30/05/1996 - LLO - AR/JUR/3023/1996.</w:t>
      </w:r>
    </w:p>
    <w:p w:rsidR="00287724" w:rsidRDefault="00287724">
      <w:pPr>
        <w:pBdr>
          <w:top w:val="nil"/>
          <w:left w:val="nil"/>
          <w:bottom w:val="nil"/>
          <w:right w:val="nil"/>
          <w:between w:val="nil"/>
        </w:pBdr>
        <w:spacing w:after="0" w:line="240" w:lineRule="auto"/>
        <w:rPr>
          <w:color w:val="000000"/>
          <w:sz w:val="20"/>
          <w:szCs w:val="20"/>
        </w:rPr>
      </w:pPr>
    </w:p>
    <w:p w:rsidR="00287724" w:rsidRDefault="00287724">
      <w:pPr>
        <w:pBdr>
          <w:top w:val="nil"/>
          <w:left w:val="nil"/>
          <w:bottom w:val="nil"/>
          <w:right w:val="nil"/>
          <w:between w:val="nil"/>
        </w:pBdr>
        <w:spacing w:after="0" w:line="240" w:lineRule="auto"/>
        <w:rPr>
          <w:color w:val="000000"/>
          <w:sz w:val="20"/>
          <w:szCs w:val="20"/>
        </w:rPr>
      </w:pPr>
    </w:p>
  </w:footnote>
  <w:footnote w:id="8">
    <w:p w:rsidR="00287724" w:rsidRDefault="00916EC4">
      <w:pPr>
        <w:pBdr>
          <w:top w:val="nil"/>
          <w:left w:val="nil"/>
          <w:bottom w:val="nil"/>
          <w:right w:val="nil"/>
          <w:between w:val="nil"/>
        </w:pBdr>
        <w:spacing w:after="0" w:line="240" w:lineRule="auto"/>
        <w:rPr>
          <w:color w:val="000000"/>
          <w:sz w:val="20"/>
          <w:szCs w:val="20"/>
        </w:rPr>
      </w:pPr>
      <w:bookmarkStart w:id="4" w:name="_5tek8i3vvm6u" w:colFirst="0" w:colLast="0"/>
      <w:bookmarkEnd w:id="4"/>
      <w:r>
        <w:rPr>
          <w:vertAlign w:val="superscript"/>
        </w:rPr>
        <w:footnoteRef/>
      </w:r>
      <w:r>
        <w:rPr>
          <w:color w:val="000000"/>
          <w:sz w:val="20"/>
          <w:szCs w:val="20"/>
        </w:rPr>
        <w:t xml:space="preserve"> Osso, María C., “La Oponibilidad del Boleto de Compraventa de Inmuebles a la Luz del Nuevo Código Civil y Comercial de la Nación”, Doctrina Societaria y Concursal ERREPAR (DSCE), FEBRERO 2017.</w:t>
      </w:r>
    </w:p>
  </w:footnote>
  <w:footnote w:id="9">
    <w:p w:rsidR="00287724" w:rsidRDefault="00916EC4">
      <w:pPr>
        <w:pBdr>
          <w:top w:val="nil"/>
          <w:left w:val="nil"/>
          <w:bottom w:val="nil"/>
          <w:right w:val="nil"/>
          <w:between w:val="nil"/>
        </w:pBdr>
        <w:spacing w:after="0" w:line="240" w:lineRule="auto"/>
        <w:rPr>
          <w:rFonts w:ascii="Arial" w:eastAsia="Arial" w:hAnsi="Arial" w:cs="Arial"/>
          <w:color w:val="000000"/>
          <w:sz w:val="22"/>
          <w:szCs w:val="22"/>
        </w:rPr>
      </w:pPr>
      <w:r>
        <w:rPr>
          <w:vertAlign w:val="superscript"/>
        </w:rPr>
        <w:footnoteRef/>
      </w:r>
      <w:r>
        <w:rPr>
          <w:color w:val="000000"/>
          <w:sz w:val="20"/>
          <w:szCs w:val="20"/>
        </w:rPr>
        <w:t xml:space="preserve"> </w:t>
      </w:r>
      <w:r>
        <w:rPr>
          <w:rFonts w:ascii="Arial" w:eastAsia="Arial" w:hAnsi="Arial" w:cs="Arial"/>
          <w:color w:val="000000"/>
          <w:sz w:val="22"/>
          <w:szCs w:val="22"/>
        </w:rPr>
        <w:t>Concursos y Q</w:t>
      </w:r>
      <w:r>
        <w:rPr>
          <w:rFonts w:ascii="Arial" w:eastAsia="Arial" w:hAnsi="Arial" w:cs="Arial"/>
          <w:color w:val="000000"/>
          <w:sz w:val="22"/>
          <w:szCs w:val="22"/>
        </w:rPr>
        <w:t>uiebras Graciela Medina y Procesos Concursales Carlos Hernández</w:t>
      </w:r>
    </w:p>
    <w:p w:rsidR="00287724" w:rsidRDefault="00287724">
      <w:pPr>
        <w:pBdr>
          <w:top w:val="nil"/>
          <w:left w:val="nil"/>
          <w:bottom w:val="nil"/>
          <w:right w:val="nil"/>
          <w:between w:val="nil"/>
        </w:pBdr>
        <w:spacing w:after="0" w:line="240" w:lineRule="auto"/>
        <w:rPr>
          <w:rFonts w:ascii="Arial" w:eastAsia="Arial" w:hAnsi="Arial" w:cs="Arial"/>
          <w:color w:val="000000"/>
          <w:sz w:val="22"/>
          <w:szCs w:val="22"/>
        </w:rPr>
      </w:pPr>
    </w:p>
  </w:footnote>
  <w:footnote w:id="10">
    <w:p w:rsidR="00287724" w:rsidRDefault="00916EC4">
      <w:pPr>
        <w:pBdr>
          <w:top w:val="nil"/>
          <w:left w:val="nil"/>
          <w:bottom w:val="nil"/>
          <w:right w:val="nil"/>
          <w:between w:val="nil"/>
        </w:pBdr>
        <w:spacing w:after="0" w:line="240" w:lineRule="auto"/>
        <w:rPr>
          <w:color w:val="000000"/>
          <w:sz w:val="20"/>
          <w:szCs w:val="20"/>
        </w:rPr>
      </w:pPr>
      <w:r>
        <w:rPr>
          <w:vertAlign w:val="superscript"/>
        </w:rPr>
        <w:footnoteRef/>
      </w:r>
    </w:p>
  </w:footnote>
  <w:footnote w:id="11">
    <w:p w:rsidR="00287724" w:rsidRDefault="00916EC4">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22"/>
          <w:szCs w:val="22"/>
        </w:rPr>
        <w:t>Derecho Concursal Maffía Osvaldo J. y Concurso Preventivo y la Quiebra Martorell</w:t>
      </w:r>
    </w:p>
  </w:footnote>
  <w:footnote w:id="12">
    <w:p w:rsidR="00287724" w:rsidRDefault="00916EC4">
      <w:pPr>
        <w:pBdr>
          <w:top w:val="nil"/>
          <w:left w:val="nil"/>
          <w:bottom w:val="nil"/>
          <w:right w:val="nil"/>
          <w:between w:val="nil"/>
        </w:pBdr>
        <w:spacing w:after="0" w:line="240" w:lineRule="auto"/>
        <w:rPr>
          <w:color w:val="000000"/>
          <w:sz w:val="20"/>
          <w:szCs w:val="20"/>
        </w:rPr>
      </w:pPr>
      <w:bookmarkStart w:id="8" w:name="_npxyziksbgqc" w:colFirst="0" w:colLast="0"/>
      <w:bookmarkEnd w:id="8"/>
      <w:r>
        <w:rPr>
          <w:vertAlign w:val="superscript"/>
        </w:rPr>
        <w:footnoteRef/>
      </w:r>
      <w:r>
        <w:rPr>
          <w:color w:val="000000"/>
          <w:sz w:val="20"/>
          <w:szCs w:val="20"/>
        </w:rPr>
        <w:t xml:space="preserve"> </w:t>
      </w:r>
      <w:r>
        <w:rPr>
          <w:rFonts w:ascii="Arial" w:eastAsia="Arial" w:hAnsi="Arial" w:cs="Arial"/>
          <w:color w:val="000000"/>
          <w:sz w:val="22"/>
          <w:szCs w:val="22"/>
        </w:rPr>
        <w:t>Fisco Nacional c/ Bravo José Alberto s/ incidente de revisión”, CNCom., sala E, 24/02/2017</w:t>
      </w:r>
    </w:p>
  </w:footnote>
  <w:footnote w:id="13">
    <w:p w:rsidR="00287724" w:rsidRDefault="00916EC4">
      <w:pPr>
        <w:pBdr>
          <w:top w:val="nil"/>
          <w:left w:val="nil"/>
          <w:bottom w:val="nil"/>
          <w:right w:val="nil"/>
          <w:between w:val="nil"/>
        </w:pBdr>
        <w:spacing w:after="0" w:line="240" w:lineRule="auto"/>
        <w:rPr>
          <w:rFonts w:ascii="knowledgeLight" w:eastAsia="knowledgeLight" w:hAnsi="knowledgeLight" w:cs="knowledgeLight"/>
          <w:color w:val="444444"/>
        </w:rPr>
      </w:pPr>
      <w:r>
        <w:rPr>
          <w:vertAlign w:val="superscript"/>
        </w:rPr>
        <w:footnoteRef/>
      </w:r>
      <w:r>
        <w:rPr>
          <w:color w:val="000000"/>
          <w:sz w:val="20"/>
          <w:szCs w:val="20"/>
        </w:rPr>
        <w:t xml:space="preserve"> </w:t>
      </w:r>
      <w:r>
        <w:rPr>
          <w:rFonts w:ascii="knowledgeLight" w:eastAsia="knowledgeLight" w:hAnsi="knowledgeLight" w:cs="knowledgeLight"/>
          <w:color w:val="444444"/>
        </w:rPr>
        <w:t>VÍTOLO, Daniel R., "Concursos...", ob. cit., p. 581; VÍTOLO, Daniel R., "Elementos...", ob. cit., p. 269; VÍTOLO, Daniel R., "Derecho...", ob. cit., p. 323.</w:t>
      </w:r>
    </w:p>
    <w:p w:rsidR="00287724" w:rsidRDefault="00287724">
      <w:pPr>
        <w:pBdr>
          <w:top w:val="nil"/>
          <w:left w:val="nil"/>
          <w:bottom w:val="nil"/>
          <w:right w:val="nil"/>
          <w:between w:val="nil"/>
        </w:pBdr>
        <w:spacing w:after="0" w:line="240" w:lineRule="auto"/>
        <w:rPr>
          <w:color w:val="000000"/>
          <w:sz w:val="20"/>
          <w:szCs w:val="20"/>
        </w:rPr>
      </w:pPr>
    </w:p>
  </w:footnote>
  <w:footnote w:id="14">
    <w:p w:rsidR="00287724" w:rsidRDefault="00916EC4">
      <w:pPr>
        <w:shd w:val="clear" w:color="auto" w:fill="FFFFFF"/>
        <w:spacing w:after="0"/>
        <w:rPr>
          <w:rFonts w:ascii="knowledgeLight" w:eastAsia="knowledgeLight" w:hAnsi="knowledgeLight" w:cs="knowledgeLight"/>
          <w:color w:val="444444"/>
        </w:rPr>
      </w:pPr>
      <w:r>
        <w:rPr>
          <w:vertAlign w:val="superscript"/>
        </w:rPr>
        <w:footnoteRef/>
      </w:r>
      <w:r>
        <w:t xml:space="preserve"> </w:t>
      </w:r>
      <w:r>
        <w:rPr>
          <w:rFonts w:ascii="knowledgeLight" w:eastAsia="knowledgeLight" w:hAnsi="knowledgeLight" w:cs="knowledgeLight"/>
          <w:color w:val="444444"/>
        </w:rPr>
        <w:t>GRAZIABILE, Darío J. (dir,) - LOIZA, Fabián, "Comentario al art. 228 de la LC", en Régimen concu</w:t>
      </w:r>
      <w:r>
        <w:rPr>
          <w:rFonts w:ascii="knowledgeLight" w:eastAsia="knowledgeLight" w:hAnsi="knowledgeLight" w:cs="knowledgeLight"/>
          <w:color w:val="444444"/>
        </w:rPr>
        <w:t>rsal. Ley 24.522, actualizada y comentada, Ed. Abeledo Perrot, Buenos Aires, t. IV, ps. 313 - 314.</w:t>
      </w:r>
    </w:p>
    <w:p w:rsidR="00287724" w:rsidRDefault="00287724">
      <w:pPr>
        <w:pBdr>
          <w:top w:val="nil"/>
          <w:left w:val="nil"/>
          <w:bottom w:val="nil"/>
          <w:right w:val="nil"/>
          <w:between w:val="nil"/>
        </w:pBdr>
        <w:spacing w:after="0" w:line="240" w:lineRule="auto"/>
        <w:rPr>
          <w:color w:val="000000"/>
          <w:sz w:val="20"/>
          <w:szCs w:val="20"/>
        </w:rPr>
      </w:pPr>
    </w:p>
  </w:footnote>
  <w:footnote w:id="15">
    <w:p w:rsidR="00287724" w:rsidRDefault="00916EC4">
      <w:pPr>
        <w:shd w:val="clear" w:color="auto" w:fill="FFFFFF"/>
        <w:spacing w:after="0"/>
        <w:rPr>
          <w:rFonts w:ascii="knowledgeLight" w:eastAsia="knowledgeLight" w:hAnsi="knowledgeLight" w:cs="knowledgeLight"/>
          <w:color w:val="444444"/>
        </w:rPr>
      </w:pPr>
      <w:r>
        <w:rPr>
          <w:vertAlign w:val="superscript"/>
        </w:rPr>
        <w:footnoteRef/>
      </w:r>
      <w:r>
        <w:rPr>
          <w:rFonts w:ascii="knowledgeLight" w:eastAsia="knowledgeLight" w:hAnsi="knowledgeLight" w:cs="knowledgeLight"/>
          <w:color w:val="444444"/>
        </w:rPr>
        <w:t>ALEGRÍA, Javier, "Notas sobre el avenimiento concursal", en Concursos y quiebras. Estudios en homenaje al Dr. Ricardo S. Prono, Ed. Rubinzal-Culzoni, Santa</w:t>
      </w:r>
      <w:r>
        <w:rPr>
          <w:rFonts w:ascii="knowledgeLight" w:eastAsia="knowledgeLight" w:hAnsi="knowledgeLight" w:cs="knowledgeLight"/>
          <w:color w:val="444444"/>
        </w:rPr>
        <w:t xml:space="preserve"> Fe, Facultad de Ciencias Jurídicas y Sociales, Universidad Nacional del Litoral, 2011, p. 63.</w:t>
      </w:r>
    </w:p>
    <w:p w:rsidR="00287724" w:rsidRDefault="00287724">
      <w:pPr>
        <w:pBdr>
          <w:top w:val="nil"/>
          <w:left w:val="nil"/>
          <w:bottom w:val="nil"/>
          <w:right w:val="nil"/>
          <w:between w:val="nil"/>
        </w:pBdr>
        <w:spacing w:after="0" w:line="240" w:lineRule="auto"/>
        <w:rPr>
          <w:color w:val="000000"/>
          <w:sz w:val="20"/>
          <w:szCs w:val="20"/>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724" w:rsidRDefault="00916EC4">
    <w:pPr>
      <w:pBdr>
        <w:top w:val="nil"/>
        <w:left w:val="nil"/>
        <w:bottom w:val="nil"/>
        <w:right w:val="nil"/>
        <w:between w:val="nil"/>
      </w:pBdr>
      <w:tabs>
        <w:tab w:val="center" w:pos="4252"/>
        <w:tab w:val="right" w:pos="8504"/>
      </w:tabs>
      <w:spacing w:after="0" w:line="240" w:lineRule="auto"/>
      <w:rPr>
        <w:rFonts w:ascii="Open Sans" w:eastAsia="Open Sans" w:hAnsi="Open Sans" w:cs="Open Sans"/>
        <w:i/>
        <w:color w:val="000000"/>
        <w:sz w:val="22"/>
        <w:szCs w:val="22"/>
      </w:rPr>
    </w:pPr>
    <w:r>
      <w:rPr>
        <w:rFonts w:ascii="Open Sans" w:eastAsia="Open Sans" w:hAnsi="Open Sans" w:cs="Open Sans"/>
        <w:i/>
        <w:color w:val="000000"/>
        <w:sz w:val="22"/>
        <w:szCs w:val="22"/>
      </w:rPr>
      <w:t>UNIVERSIDAD NACIONAL DE ROSARIO FACULTAD DE CIENCIAS ECONÓMICAS Y ESTADÍSTICA - CARRERA DE POSGRADO – ESPECIALIZACIÓN EN SINDICATURA CONCURSAL.-</w:t>
    </w:r>
  </w:p>
  <w:p w:rsidR="00287724" w:rsidRDefault="00287724">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915BD4"/>
    <w:multiLevelType w:val="multilevel"/>
    <w:tmpl w:val="3F9E0F3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nsid w:val="23BB79F8"/>
    <w:multiLevelType w:val="multilevel"/>
    <w:tmpl w:val="D56C147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nsid w:val="260F3421"/>
    <w:multiLevelType w:val="multilevel"/>
    <w:tmpl w:val="4BD495D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decimal"/>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nsid w:val="2C156E4D"/>
    <w:multiLevelType w:val="multilevel"/>
    <w:tmpl w:val="A5869E7A"/>
    <w:lvl w:ilvl="0">
      <w:start w:val="3"/>
      <w:numFmt w:val="bullet"/>
      <w:lvlText w:val="-"/>
      <w:lvlJc w:val="left"/>
      <w:pPr>
        <w:ind w:left="720" w:hanging="360"/>
      </w:pPr>
      <w:rPr>
        <w:rFonts w:ascii="Arial" w:eastAsia="Arial" w:hAnsi="Arial" w:cs="Arial"/>
        <w:sz w:val="22"/>
        <w:szCs w:val="22"/>
        <w:u w:val="none"/>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nsid w:val="34FE2800"/>
    <w:multiLevelType w:val="multilevel"/>
    <w:tmpl w:val="7D2A37F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nsid w:val="3CFF4E6C"/>
    <w:multiLevelType w:val="multilevel"/>
    <w:tmpl w:val="79C26872"/>
    <w:lvl w:ilvl="0">
      <w:start w:val="10"/>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4DDE79B2"/>
    <w:multiLevelType w:val="multilevel"/>
    <w:tmpl w:val="EA58D87A"/>
    <w:lvl w:ilvl="0">
      <w:start w:val="4"/>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nsid w:val="5E896894"/>
    <w:multiLevelType w:val="multilevel"/>
    <w:tmpl w:val="9D96F1C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nsid w:val="6454436F"/>
    <w:multiLevelType w:val="multilevel"/>
    <w:tmpl w:val="7812BB4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nsid w:val="70006CAA"/>
    <w:multiLevelType w:val="multilevel"/>
    <w:tmpl w:val="FC20E4F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nsid w:val="7033216D"/>
    <w:multiLevelType w:val="multilevel"/>
    <w:tmpl w:val="39C8220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nsid w:val="78F767F8"/>
    <w:multiLevelType w:val="multilevel"/>
    <w:tmpl w:val="D252120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5"/>
  </w:num>
  <w:num w:numId="2">
    <w:abstractNumId w:val="2"/>
  </w:num>
  <w:num w:numId="3">
    <w:abstractNumId w:val="4"/>
  </w:num>
  <w:num w:numId="4">
    <w:abstractNumId w:val="8"/>
  </w:num>
  <w:num w:numId="5">
    <w:abstractNumId w:val="9"/>
  </w:num>
  <w:num w:numId="6">
    <w:abstractNumId w:val="10"/>
  </w:num>
  <w:num w:numId="7">
    <w:abstractNumId w:val="11"/>
  </w:num>
  <w:num w:numId="8">
    <w:abstractNumId w:val="6"/>
  </w:num>
  <w:num w:numId="9">
    <w:abstractNumId w:val="3"/>
  </w:num>
  <w:num w:numId="10">
    <w:abstractNumId w:val="1"/>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
  <w:rsids>
    <w:rsidRoot w:val="00287724"/>
    <w:rsid w:val="00001431"/>
    <w:rsid w:val="00287724"/>
    <w:rsid w:val="00916EC4"/>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ptos" w:eastAsia="Aptos" w:hAnsi="Aptos" w:cs="Aptos"/>
        <w:sz w:val="24"/>
        <w:szCs w:val="24"/>
        <w:lang w:val="es-AR" w:eastAsia="es-AR"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360" w:after="80"/>
      <w:outlineLvl w:val="0"/>
    </w:pPr>
    <w:rPr>
      <w:rFonts w:ascii="Play" w:eastAsia="Play" w:hAnsi="Play" w:cs="Play"/>
      <w:color w:val="0F4761"/>
      <w:sz w:val="40"/>
      <w:szCs w:val="40"/>
    </w:rPr>
  </w:style>
  <w:style w:type="paragraph" w:styleId="Ttulo2">
    <w:name w:val="heading 2"/>
    <w:basedOn w:val="Normal"/>
    <w:next w:val="Normal"/>
    <w:pPr>
      <w:keepNext/>
      <w:keepLines/>
      <w:spacing w:before="160" w:after="80"/>
      <w:outlineLvl w:val="1"/>
    </w:pPr>
    <w:rPr>
      <w:rFonts w:ascii="Play" w:eastAsia="Play" w:hAnsi="Play" w:cs="Play"/>
      <w:color w:val="0F4761"/>
      <w:sz w:val="32"/>
      <w:szCs w:val="32"/>
    </w:rPr>
  </w:style>
  <w:style w:type="paragraph" w:styleId="Ttulo3">
    <w:name w:val="heading 3"/>
    <w:basedOn w:val="Normal"/>
    <w:next w:val="Normal"/>
    <w:pPr>
      <w:keepNext/>
      <w:keepLines/>
      <w:spacing w:before="160" w:after="80"/>
      <w:outlineLvl w:val="2"/>
    </w:pPr>
    <w:rPr>
      <w:color w:val="0F4761"/>
      <w:sz w:val="28"/>
      <w:szCs w:val="28"/>
    </w:rPr>
  </w:style>
  <w:style w:type="paragraph" w:styleId="Ttulo4">
    <w:name w:val="heading 4"/>
    <w:basedOn w:val="Normal"/>
    <w:next w:val="Normal"/>
    <w:pPr>
      <w:keepNext/>
      <w:keepLines/>
      <w:spacing w:before="80" w:after="40"/>
      <w:outlineLvl w:val="3"/>
    </w:pPr>
    <w:rPr>
      <w:i/>
      <w:color w:val="0F4761"/>
    </w:rPr>
  </w:style>
  <w:style w:type="paragraph" w:styleId="Ttulo5">
    <w:name w:val="heading 5"/>
    <w:basedOn w:val="Normal"/>
    <w:next w:val="Normal"/>
    <w:pPr>
      <w:keepNext/>
      <w:keepLines/>
      <w:spacing w:before="80" w:after="40"/>
      <w:outlineLvl w:val="4"/>
    </w:pPr>
    <w:rPr>
      <w:color w:val="0F4761"/>
    </w:rPr>
  </w:style>
  <w:style w:type="paragraph" w:styleId="Ttulo6">
    <w:name w:val="heading 6"/>
    <w:basedOn w:val="Normal"/>
    <w:next w:val="Normal"/>
    <w:pPr>
      <w:keepNext/>
      <w:keepLines/>
      <w:spacing w:before="40" w:after="0"/>
      <w:outlineLvl w:val="5"/>
    </w:pPr>
    <w:rPr>
      <w:i/>
      <w:color w:val="59595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spacing w:after="80" w:line="240" w:lineRule="auto"/>
    </w:pPr>
    <w:rPr>
      <w:rFonts w:ascii="Play" w:eastAsia="Play" w:hAnsi="Play" w:cs="Play"/>
      <w:sz w:val="56"/>
      <w:szCs w:val="56"/>
    </w:rPr>
  </w:style>
  <w:style w:type="paragraph" w:styleId="Subttulo">
    <w:name w:val="Subtitle"/>
    <w:basedOn w:val="Normal"/>
    <w:next w:val="Normal"/>
    <w:rPr>
      <w:color w:val="595959"/>
      <w:sz w:val="28"/>
      <w:szCs w:val="28"/>
    </w:rPr>
  </w:style>
  <w:style w:type="paragraph" w:styleId="Textodeglobo">
    <w:name w:val="Balloon Text"/>
    <w:basedOn w:val="Normal"/>
    <w:link w:val="TextodegloboCar"/>
    <w:uiPriority w:val="99"/>
    <w:semiHidden/>
    <w:unhideWhenUsed/>
    <w:rsid w:val="0000143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0143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ptos" w:eastAsia="Aptos" w:hAnsi="Aptos" w:cs="Aptos"/>
        <w:sz w:val="24"/>
        <w:szCs w:val="24"/>
        <w:lang w:val="es-AR" w:eastAsia="es-AR"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360" w:after="80"/>
      <w:outlineLvl w:val="0"/>
    </w:pPr>
    <w:rPr>
      <w:rFonts w:ascii="Play" w:eastAsia="Play" w:hAnsi="Play" w:cs="Play"/>
      <w:color w:val="0F4761"/>
      <w:sz w:val="40"/>
      <w:szCs w:val="40"/>
    </w:rPr>
  </w:style>
  <w:style w:type="paragraph" w:styleId="Ttulo2">
    <w:name w:val="heading 2"/>
    <w:basedOn w:val="Normal"/>
    <w:next w:val="Normal"/>
    <w:pPr>
      <w:keepNext/>
      <w:keepLines/>
      <w:spacing w:before="160" w:after="80"/>
      <w:outlineLvl w:val="1"/>
    </w:pPr>
    <w:rPr>
      <w:rFonts w:ascii="Play" w:eastAsia="Play" w:hAnsi="Play" w:cs="Play"/>
      <w:color w:val="0F4761"/>
      <w:sz w:val="32"/>
      <w:szCs w:val="32"/>
    </w:rPr>
  </w:style>
  <w:style w:type="paragraph" w:styleId="Ttulo3">
    <w:name w:val="heading 3"/>
    <w:basedOn w:val="Normal"/>
    <w:next w:val="Normal"/>
    <w:pPr>
      <w:keepNext/>
      <w:keepLines/>
      <w:spacing w:before="160" w:after="80"/>
      <w:outlineLvl w:val="2"/>
    </w:pPr>
    <w:rPr>
      <w:color w:val="0F4761"/>
      <w:sz w:val="28"/>
      <w:szCs w:val="28"/>
    </w:rPr>
  </w:style>
  <w:style w:type="paragraph" w:styleId="Ttulo4">
    <w:name w:val="heading 4"/>
    <w:basedOn w:val="Normal"/>
    <w:next w:val="Normal"/>
    <w:pPr>
      <w:keepNext/>
      <w:keepLines/>
      <w:spacing w:before="80" w:after="40"/>
      <w:outlineLvl w:val="3"/>
    </w:pPr>
    <w:rPr>
      <w:i/>
      <w:color w:val="0F4761"/>
    </w:rPr>
  </w:style>
  <w:style w:type="paragraph" w:styleId="Ttulo5">
    <w:name w:val="heading 5"/>
    <w:basedOn w:val="Normal"/>
    <w:next w:val="Normal"/>
    <w:pPr>
      <w:keepNext/>
      <w:keepLines/>
      <w:spacing w:before="80" w:after="40"/>
      <w:outlineLvl w:val="4"/>
    </w:pPr>
    <w:rPr>
      <w:color w:val="0F4761"/>
    </w:rPr>
  </w:style>
  <w:style w:type="paragraph" w:styleId="Ttulo6">
    <w:name w:val="heading 6"/>
    <w:basedOn w:val="Normal"/>
    <w:next w:val="Normal"/>
    <w:pPr>
      <w:keepNext/>
      <w:keepLines/>
      <w:spacing w:before="40" w:after="0"/>
      <w:outlineLvl w:val="5"/>
    </w:pPr>
    <w:rPr>
      <w:i/>
      <w:color w:val="59595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spacing w:after="80" w:line="240" w:lineRule="auto"/>
    </w:pPr>
    <w:rPr>
      <w:rFonts w:ascii="Play" w:eastAsia="Play" w:hAnsi="Play" w:cs="Play"/>
      <w:sz w:val="56"/>
      <w:szCs w:val="56"/>
    </w:rPr>
  </w:style>
  <w:style w:type="paragraph" w:styleId="Subttulo">
    <w:name w:val="Subtitle"/>
    <w:basedOn w:val="Normal"/>
    <w:next w:val="Normal"/>
    <w:rPr>
      <w:color w:val="595959"/>
      <w:sz w:val="28"/>
      <w:szCs w:val="28"/>
    </w:rPr>
  </w:style>
  <w:style w:type="paragraph" w:styleId="Textodeglobo">
    <w:name w:val="Balloon Text"/>
    <w:basedOn w:val="Normal"/>
    <w:link w:val="TextodegloboCar"/>
    <w:uiPriority w:val="99"/>
    <w:semiHidden/>
    <w:unhideWhenUsed/>
    <w:rsid w:val="0000143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0143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32</Pages>
  <Words>9100</Words>
  <Characters>50053</Characters>
  <Application>Microsoft Office Word</Application>
  <DocSecurity>0</DocSecurity>
  <Lines>417</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operador</dc:creator>
  <cp:lastModifiedBy>operador</cp:lastModifiedBy>
  <cp:revision>2</cp:revision>
  <dcterms:created xsi:type="dcterms:W3CDTF">2025-06-26T11:40:00Z</dcterms:created>
  <dcterms:modified xsi:type="dcterms:W3CDTF">2025-06-26T11:40:00Z</dcterms:modified>
</cp:coreProperties>
</file>