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83286" w14:textId="77777777" w:rsidR="00177423" w:rsidRDefault="00177423" w:rsidP="00177423">
      <w:pPr>
        <w:pStyle w:val="NormalWeb"/>
        <w:spacing w:before="0" w:beforeAutospacing="0" w:after="0" w:afterAutospacing="0"/>
        <w:jc w:val="center"/>
        <w:rPr>
          <w:b/>
          <w:bCs/>
          <w:color w:val="70AD47" w:themeColor="accent6"/>
        </w:rPr>
      </w:pPr>
      <w:r>
        <w:rPr>
          <w:b/>
          <w:bCs/>
          <w:color w:val="70AD47" w:themeColor="accent6"/>
          <w:sz w:val="20"/>
          <w:szCs w:val="20"/>
        </w:rPr>
        <w:t>Facultad de Humanidades y Artes – UNR</w:t>
      </w:r>
    </w:p>
    <w:p w14:paraId="7BE70782" w14:textId="77777777" w:rsidR="00177423" w:rsidRDefault="00177423" w:rsidP="00177423">
      <w:pPr>
        <w:pStyle w:val="NormalWeb"/>
        <w:spacing w:before="0" w:beforeAutospacing="0" w:after="0" w:afterAutospacing="0"/>
        <w:jc w:val="center"/>
        <w:rPr>
          <w:b/>
          <w:bCs/>
          <w:color w:val="70AD47" w:themeColor="accent6"/>
        </w:rPr>
      </w:pPr>
      <w:r>
        <w:rPr>
          <w:b/>
          <w:bCs/>
          <w:color w:val="70AD47" w:themeColor="accent6"/>
          <w:sz w:val="20"/>
          <w:szCs w:val="20"/>
        </w:rPr>
        <w:t>Escuela de Antropología</w:t>
      </w:r>
    </w:p>
    <w:p w14:paraId="6917F558" w14:textId="77777777" w:rsidR="00177423" w:rsidRDefault="00177423" w:rsidP="00177423">
      <w:pPr>
        <w:pStyle w:val="NormalWeb"/>
        <w:spacing w:before="0" w:beforeAutospacing="0" w:after="0" w:afterAutospacing="0"/>
        <w:jc w:val="center"/>
        <w:rPr>
          <w:b/>
          <w:bCs/>
          <w:color w:val="70AD47" w:themeColor="accent6"/>
        </w:rPr>
      </w:pPr>
      <w:r>
        <w:rPr>
          <w:b/>
          <w:bCs/>
          <w:color w:val="70AD47" w:themeColor="accent6"/>
          <w:sz w:val="20"/>
          <w:szCs w:val="20"/>
        </w:rPr>
        <w:t>Corrientes Antropológicas I</w:t>
      </w:r>
    </w:p>
    <w:p w14:paraId="572C1931" w14:textId="2B117EA1" w:rsidR="00177423" w:rsidRDefault="00177423" w:rsidP="00177423">
      <w:pPr>
        <w:pStyle w:val="NormalWeb"/>
        <w:spacing w:before="0" w:beforeAutospacing="0" w:after="0" w:afterAutospacing="0"/>
        <w:jc w:val="center"/>
        <w:rPr>
          <w:b/>
          <w:bCs/>
          <w:color w:val="70AD47" w:themeColor="accent6"/>
        </w:rPr>
      </w:pPr>
      <w:r>
        <w:rPr>
          <w:b/>
          <w:bCs/>
          <w:color w:val="70AD47" w:themeColor="accent6"/>
          <w:sz w:val="20"/>
          <w:szCs w:val="20"/>
        </w:rPr>
        <w:t>Unidad IV: La reacción antievolucionista y la Escuela Histórico-cultural</w:t>
      </w:r>
    </w:p>
    <w:p w14:paraId="7A261AE2" w14:textId="77777777" w:rsidR="003E08B1" w:rsidRDefault="003E08B1" w:rsidP="003E08B1">
      <w:pPr>
        <w:jc w:val="center"/>
        <w:rPr>
          <w:rFonts w:ascii="Arial" w:hAnsi="Arial" w:cs="Arial"/>
          <w:b/>
          <w:bCs/>
          <w:sz w:val="32"/>
          <w:szCs w:val="32"/>
        </w:rPr>
      </w:pPr>
    </w:p>
    <w:p w14:paraId="22E25028" w14:textId="77777777" w:rsidR="003E08B1" w:rsidRDefault="003E08B1" w:rsidP="003E08B1">
      <w:pPr>
        <w:jc w:val="center"/>
        <w:rPr>
          <w:rFonts w:ascii="Arial" w:hAnsi="Arial" w:cs="Arial"/>
          <w:b/>
          <w:bCs/>
          <w:sz w:val="32"/>
          <w:szCs w:val="32"/>
        </w:rPr>
      </w:pPr>
    </w:p>
    <w:p w14:paraId="62773C34" w14:textId="2E60C558" w:rsidR="003E08B1" w:rsidRDefault="003E08B1" w:rsidP="003E08B1">
      <w:pPr>
        <w:jc w:val="center"/>
        <w:rPr>
          <w:rFonts w:ascii="Arial" w:hAnsi="Arial" w:cs="Arial"/>
          <w:b/>
          <w:bCs/>
          <w:sz w:val="32"/>
          <w:szCs w:val="32"/>
        </w:rPr>
      </w:pPr>
      <w:r>
        <w:rPr>
          <w:rFonts w:ascii="Arial" w:hAnsi="Arial" w:cs="Arial"/>
          <w:b/>
          <w:bCs/>
          <w:sz w:val="32"/>
          <w:szCs w:val="32"/>
        </w:rPr>
        <w:t>La</w:t>
      </w:r>
      <w:r w:rsidR="00F43BA6">
        <w:rPr>
          <w:rFonts w:ascii="Arial" w:hAnsi="Arial" w:cs="Arial"/>
          <w:b/>
          <w:bCs/>
          <w:sz w:val="32"/>
          <w:szCs w:val="32"/>
        </w:rPr>
        <w:t>s corrientes difusionistas y la Escuela histórico-cultural</w:t>
      </w:r>
    </w:p>
    <w:p w14:paraId="517F79EA" w14:textId="23F24829" w:rsidR="004E22E4" w:rsidRPr="004E22E4" w:rsidRDefault="004E22E4" w:rsidP="003E08B1">
      <w:pPr>
        <w:jc w:val="center"/>
        <w:rPr>
          <w:rFonts w:ascii="Arial" w:hAnsi="Arial" w:cs="Arial"/>
          <w:b/>
          <w:bCs/>
          <w:sz w:val="24"/>
          <w:szCs w:val="24"/>
        </w:rPr>
      </w:pPr>
      <w:r w:rsidRPr="004E22E4">
        <w:rPr>
          <w:rFonts w:ascii="Arial" w:hAnsi="Arial" w:cs="Arial"/>
          <w:b/>
          <w:bCs/>
          <w:sz w:val="24"/>
          <w:szCs w:val="24"/>
        </w:rPr>
        <w:t>(Documento base para la clase teórica)</w:t>
      </w:r>
    </w:p>
    <w:p w14:paraId="134D869D" w14:textId="71975AD9" w:rsidR="003E08B1" w:rsidRDefault="003E08B1" w:rsidP="004E22E4">
      <w:pPr>
        <w:spacing w:after="0" w:line="240" w:lineRule="auto"/>
        <w:jc w:val="right"/>
        <w:rPr>
          <w:rFonts w:ascii="Arial" w:hAnsi="Arial" w:cs="Arial"/>
          <w:b/>
          <w:bCs/>
          <w:sz w:val="24"/>
          <w:szCs w:val="24"/>
        </w:rPr>
      </w:pPr>
      <w:r>
        <w:rPr>
          <w:rFonts w:ascii="Arial" w:hAnsi="Arial" w:cs="Arial"/>
          <w:b/>
          <w:bCs/>
          <w:sz w:val="24"/>
          <w:szCs w:val="24"/>
        </w:rPr>
        <w:t>Por Silvana Sanchez</w:t>
      </w:r>
    </w:p>
    <w:p w14:paraId="56852F17" w14:textId="38236BDD" w:rsidR="004E22E4" w:rsidRDefault="004E22E4" w:rsidP="004E22E4">
      <w:pPr>
        <w:spacing w:after="0" w:line="240" w:lineRule="auto"/>
        <w:jc w:val="right"/>
        <w:rPr>
          <w:rFonts w:ascii="Arial" w:hAnsi="Arial" w:cs="Arial"/>
          <w:b/>
          <w:bCs/>
          <w:sz w:val="24"/>
          <w:szCs w:val="24"/>
        </w:rPr>
      </w:pPr>
      <w:r>
        <w:rPr>
          <w:rFonts w:ascii="Arial" w:hAnsi="Arial" w:cs="Arial"/>
          <w:b/>
          <w:bCs/>
          <w:sz w:val="24"/>
          <w:szCs w:val="24"/>
        </w:rPr>
        <w:t>Agosto de 2021</w:t>
      </w:r>
    </w:p>
    <w:p w14:paraId="2031E1D8" w14:textId="77777777" w:rsidR="003E08B1" w:rsidRDefault="003E08B1" w:rsidP="003E08B1">
      <w:pPr>
        <w:rPr>
          <w:rFonts w:ascii="Times New Roman" w:hAnsi="Times New Roman" w:cs="Times New Roman"/>
          <w:sz w:val="28"/>
          <w:szCs w:val="28"/>
        </w:rPr>
      </w:pPr>
    </w:p>
    <w:p w14:paraId="34B1E6C6" w14:textId="77777777" w:rsidR="003E08B1" w:rsidRDefault="003E08B1" w:rsidP="003E08B1">
      <w:pPr>
        <w:rPr>
          <w:rFonts w:ascii="Arial Rounded MT Bold" w:hAnsi="Arial Rounded MT Bold"/>
          <w:color w:val="538135" w:themeColor="accent6" w:themeShade="BF"/>
          <w:sz w:val="28"/>
          <w:szCs w:val="28"/>
        </w:rPr>
      </w:pPr>
      <w:r>
        <w:rPr>
          <w:rFonts w:ascii="Arial Rounded MT Bold" w:hAnsi="Arial Rounded MT Bold"/>
          <w:color w:val="538135" w:themeColor="accent6" w:themeShade="BF"/>
          <w:sz w:val="28"/>
          <w:szCs w:val="28"/>
        </w:rPr>
        <w:t>OBJETIVOS DE LA CLASE</w:t>
      </w:r>
    </w:p>
    <w:p w14:paraId="27EF0276" w14:textId="73F41ACA" w:rsidR="003E08B1" w:rsidRDefault="003E08B1" w:rsidP="003E08B1">
      <w:pPr>
        <w:pStyle w:val="Prrafodelista"/>
        <w:numPr>
          <w:ilvl w:val="0"/>
          <w:numId w:val="1"/>
        </w:numPr>
        <w:jc w:val="both"/>
        <w:rPr>
          <w:rFonts w:ascii="Arial" w:hAnsi="Arial" w:cs="Arial"/>
          <w:b/>
          <w:bCs/>
          <w:sz w:val="28"/>
          <w:szCs w:val="28"/>
        </w:rPr>
      </w:pPr>
      <w:r>
        <w:rPr>
          <w:rFonts w:ascii="Arial" w:hAnsi="Arial" w:cs="Arial"/>
          <w:b/>
          <w:bCs/>
          <w:sz w:val="28"/>
          <w:szCs w:val="28"/>
        </w:rPr>
        <w:t>Identificar l</w:t>
      </w:r>
      <w:r w:rsidR="00F43BA6">
        <w:rPr>
          <w:rFonts w:ascii="Arial" w:hAnsi="Arial" w:cs="Arial"/>
          <w:b/>
          <w:bCs/>
          <w:sz w:val="28"/>
          <w:szCs w:val="28"/>
        </w:rPr>
        <w:t>a</w:t>
      </w:r>
      <w:r>
        <w:rPr>
          <w:rFonts w:ascii="Arial" w:hAnsi="Arial" w:cs="Arial"/>
          <w:b/>
          <w:bCs/>
          <w:sz w:val="28"/>
          <w:szCs w:val="28"/>
        </w:rPr>
        <w:t xml:space="preserve">s </w:t>
      </w:r>
      <w:r w:rsidR="00F43BA6">
        <w:rPr>
          <w:rFonts w:ascii="Arial" w:hAnsi="Arial" w:cs="Arial"/>
          <w:b/>
          <w:bCs/>
          <w:sz w:val="28"/>
          <w:szCs w:val="28"/>
        </w:rPr>
        <w:t>escuelas difusionistas de finales del siglo XIX y comienzos del siglo XX.</w:t>
      </w:r>
    </w:p>
    <w:p w14:paraId="173E3C1E" w14:textId="6A5E5B77" w:rsidR="003E08B1" w:rsidRDefault="00F43BA6" w:rsidP="003E08B1">
      <w:pPr>
        <w:pStyle w:val="Prrafodelista"/>
        <w:numPr>
          <w:ilvl w:val="0"/>
          <w:numId w:val="1"/>
        </w:numPr>
        <w:jc w:val="both"/>
        <w:rPr>
          <w:rFonts w:ascii="Arial" w:hAnsi="Arial" w:cs="Arial"/>
          <w:b/>
          <w:bCs/>
          <w:sz w:val="28"/>
          <w:szCs w:val="28"/>
        </w:rPr>
      </w:pPr>
      <w:r>
        <w:rPr>
          <w:rFonts w:ascii="Arial" w:hAnsi="Arial" w:cs="Arial"/>
          <w:b/>
          <w:bCs/>
          <w:sz w:val="28"/>
          <w:szCs w:val="28"/>
        </w:rPr>
        <w:t>Presentar los principales postulados de la escuela histórico-cultural, como parte de las corrientes difusionistas.</w:t>
      </w:r>
    </w:p>
    <w:p w14:paraId="4994F6CE" w14:textId="40E7C38A" w:rsidR="003E08B1" w:rsidRDefault="00F43BA6" w:rsidP="003E08B1">
      <w:pPr>
        <w:pStyle w:val="Prrafodelista"/>
        <w:numPr>
          <w:ilvl w:val="0"/>
          <w:numId w:val="1"/>
        </w:numPr>
        <w:jc w:val="both"/>
        <w:rPr>
          <w:rFonts w:ascii="Arial" w:hAnsi="Arial" w:cs="Arial"/>
          <w:b/>
          <w:bCs/>
          <w:sz w:val="28"/>
          <w:szCs w:val="28"/>
        </w:rPr>
      </w:pPr>
      <w:r>
        <w:rPr>
          <w:rFonts w:ascii="Arial" w:hAnsi="Arial" w:cs="Arial"/>
          <w:b/>
          <w:bCs/>
          <w:sz w:val="28"/>
          <w:szCs w:val="28"/>
        </w:rPr>
        <w:t>Ubicar el desarrollo de la escuela histórico-cultural en Argentina.</w:t>
      </w:r>
    </w:p>
    <w:p w14:paraId="43755F4B" w14:textId="15D66642" w:rsidR="003E08B1" w:rsidRDefault="003E08B1" w:rsidP="00C3687C">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5D1DBD5A" w14:textId="77777777" w:rsidR="00C3687C" w:rsidRDefault="00C3687C" w:rsidP="00C3687C">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91D37FA" w14:textId="3044D3BD" w:rsidR="0083748D" w:rsidRDefault="00C3687C" w:rsidP="003E08B1">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 xml:space="preserve">La reacción antievolucionista a finales del siglo XIX y el desarrollo de las </w:t>
      </w:r>
      <w:r w:rsidR="00B84237">
        <w:rPr>
          <w:rFonts w:ascii="Arial Rounded MT Bold" w:hAnsi="Arial Rounded MT Bold" w:cs="Arial"/>
          <w:b/>
          <w:bCs/>
          <w:color w:val="538135" w:themeColor="accent6" w:themeShade="BF"/>
          <w:sz w:val="28"/>
          <w:szCs w:val="28"/>
        </w:rPr>
        <w:t>escuelas</w:t>
      </w:r>
      <w:r>
        <w:rPr>
          <w:rFonts w:ascii="Arial Rounded MT Bold" w:hAnsi="Arial Rounded MT Bold" w:cs="Arial"/>
          <w:b/>
          <w:bCs/>
          <w:color w:val="538135" w:themeColor="accent6" w:themeShade="BF"/>
          <w:sz w:val="28"/>
          <w:szCs w:val="28"/>
        </w:rPr>
        <w:t xml:space="preserve"> difusionistas</w:t>
      </w:r>
    </w:p>
    <w:p w14:paraId="08D58F00" w14:textId="77777777" w:rsidR="003E08B1" w:rsidRDefault="003E08B1" w:rsidP="003E08B1">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5F380F43" w14:textId="6FC17AD3" w:rsidR="00B21BA9" w:rsidRDefault="00B21BA9" w:rsidP="00B21BA9">
      <w:pPr>
        <w:pStyle w:val="Prrafodelista"/>
        <w:spacing w:after="0" w:line="360" w:lineRule="auto"/>
        <w:ind w:left="0"/>
        <w:jc w:val="both"/>
        <w:rPr>
          <w:rFonts w:ascii="Arial" w:hAnsi="Arial" w:cs="Arial"/>
          <w:sz w:val="24"/>
          <w:szCs w:val="24"/>
        </w:rPr>
      </w:pPr>
      <w:r>
        <w:rPr>
          <w:rFonts w:ascii="Arial" w:hAnsi="Arial" w:cs="Arial"/>
          <w:sz w:val="24"/>
          <w:szCs w:val="24"/>
        </w:rPr>
        <w:tab/>
        <w:t>Si el evolucionismo se configuró como una poderosa corriente teórica en la segunda mitad del siglo XIX</w:t>
      </w:r>
      <w:r w:rsidR="008E4BB2">
        <w:rPr>
          <w:rFonts w:ascii="Arial" w:hAnsi="Arial" w:cs="Arial"/>
          <w:sz w:val="24"/>
          <w:szCs w:val="24"/>
        </w:rPr>
        <w:t xml:space="preserve"> -acompañando los primeros pasos de profesionalización e institucionalización de la antropología- “pronto se desarrolló otra corriente, antievolucionista, conocida en la historia de la disciplina con la etiqueta general de </w:t>
      </w:r>
      <w:r w:rsidR="008E4BB2" w:rsidRPr="008E4BB2">
        <w:rPr>
          <w:rFonts w:ascii="Arial" w:hAnsi="Arial" w:cs="Arial"/>
          <w:i/>
          <w:iCs/>
          <w:sz w:val="24"/>
          <w:szCs w:val="24"/>
        </w:rPr>
        <w:t>difusionista</w:t>
      </w:r>
      <w:r w:rsidR="008E4BB2">
        <w:rPr>
          <w:rFonts w:ascii="Arial" w:hAnsi="Arial" w:cs="Arial"/>
          <w:sz w:val="24"/>
          <w:szCs w:val="24"/>
        </w:rPr>
        <w:t>.” (Lisón Tolosana, 1971: 72).</w:t>
      </w:r>
      <w:r w:rsidR="003E08B1">
        <w:rPr>
          <w:rFonts w:ascii="Arial" w:hAnsi="Arial" w:cs="Arial"/>
          <w:sz w:val="24"/>
          <w:szCs w:val="24"/>
        </w:rPr>
        <w:tab/>
      </w:r>
    </w:p>
    <w:p w14:paraId="6C91EDEE" w14:textId="53087718" w:rsidR="00AB6A7A" w:rsidRDefault="00AB6A7A" w:rsidP="00B21BA9">
      <w:pPr>
        <w:pStyle w:val="Prrafodelista"/>
        <w:spacing w:after="0" w:line="360" w:lineRule="auto"/>
        <w:ind w:left="0"/>
        <w:jc w:val="both"/>
        <w:rPr>
          <w:rFonts w:ascii="Arial" w:hAnsi="Arial" w:cs="Arial"/>
          <w:sz w:val="24"/>
          <w:szCs w:val="24"/>
        </w:rPr>
      </w:pPr>
      <w:r>
        <w:rPr>
          <w:rFonts w:ascii="Arial" w:hAnsi="Arial" w:cs="Arial"/>
          <w:sz w:val="24"/>
          <w:szCs w:val="24"/>
        </w:rPr>
        <w:tab/>
        <w:t>Palerm ha planteado que fueron, en parte, los mencionados procesos de institucionalización y profesionalización de la disciplina, los que contribuyeron a la crisis del evolucionismo clásico. “Cuanta más información se reúne y se publica, más clara aparece la insuficiencia de la hipótesis subyacente al evolucionismo del siglo XIX, o sea, el paralelismo cultural como manifestaci</w:t>
      </w:r>
      <w:r w:rsidR="00E230A5">
        <w:rPr>
          <w:rFonts w:ascii="Arial" w:hAnsi="Arial" w:cs="Arial"/>
          <w:sz w:val="24"/>
          <w:szCs w:val="24"/>
        </w:rPr>
        <w:t>ó</w:t>
      </w:r>
      <w:r>
        <w:rPr>
          <w:rFonts w:ascii="Arial" w:hAnsi="Arial" w:cs="Arial"/>
          <w:sz w:val="24"/>
          <w:szCs w:val="24"/>
        </w:rPr>
        <w:t>n de la unidad psíquica</w:t>
      </w:r>
      <w:r w:rsidR="00DF03DE">
        <w:rPr>
          <w:rFonts w:ascii="Arial" w:hAnsi="Arial" w:cs="Arial"/>
          <w:sz w:val="24"/>
          <w:szCs w:val="24"/>
        </w:rPr>
        <w:t>.” (Palerm, 1997: 62).</w:t>
      </w:r>
    </w:p>
    <w:p w14:paraId="38302ACF" w14:textId="77777777" w:rsidR="002708C8" w:rsidRDefault="00DF03DE" w:rsidP="00B21BA9">
      <w:pPr>
        <w:pStyle w:val="Prrafodelista"/>
        <w:spacing w:after="0" w:line="360" w:lineRule="auto"/>
        <w:ind w:left="0"/>
        <w:jc w:val="both"/>
        <w:rPr>
          <w:rFonts w:ascii="Arial" w:hAnsi="Arial" w:cs="Arial"/>
          <w:sz w:val="24"/>
          <w:szCs w:val="24"/>
        </w:rPr>
      </w:pPr>
      <w:r>
        <w:rPr>
          <w:rFonts w:ascii="Arial" w:hAnsi="Arial" w:cs="Arial"/>
          <w:sz w:val="24"/>
          <w:szCs w:val="24"/>
        </w:rPr>
        <w:tab/>
        <w:t>Así, las nuevas escuelas etnológicas se constituye</w:t>
      </w:r>
      <w:r w:rsidR="00B84237">
        <w:rPr>
          <w:rFonts w:ascii="Arial" w:hAnsi="Arial" w:cs="Arial"/>
          <w:sz w:val="24"/>
          <w:szCs w:val="24"/>
        </w:rPr>
        <w:t>ro</w:t>
      </w:r>
      <w:r>
        <w:rPr>
          <w:rFonts w:ascii="Arial" w:hAnsi="Arial" w:cs="Arial"/>
          <w:sz w:val="24"/>
          <w:szCs w:val="24"/>
        </w:rPr>
        <w:t xml:space="preserve">n alrededor de la </w:t>
      </w:r>
    </w:p>
    <w:p w14:paraId="77BAB579" w14:textId="121E8710" w:rsidR="00DF03DE" w:rsidRDefault="00DF03DE" w:rsidP="00B21BA9">
      <w:pPr>
        <w:pStyle w:val="Prrafodelista"/>
        <w:spacing w:after="0" w:line="360" w:lineRule="auto"/>
        <w:ind w:left="0"/>
        <w:jc w:val="both"/>
        <w:rPr>
          <w:rFonts w:ascii="Arial" w:hAnsi="Arial" w:cs="Arial"/>
          <w:sz w:val="24"/>
          <w:szCs w:val="24"/>
        </w:rPr>
      </w:pPr>
      <w:r>
        <w:rPr>
          <w:rFonts w:ascii="Arial" w:hAnsi="Arial" w:cs="Arial"/>
          <w:sz w:val="24"/>
          <w:szCs w:val="24"/>
        </w:rPr>
        <w:lastRenderedPageBreak/>
        <w:t xml:space="preserve">crítica al evolucionismo clásico y al paralelismo, tomando como nuevos temas de estudio la historia </w:t>
      </w:r>
      <w:r w:rsidR="003072BC">
        <w:rPr>
          <w:rFonts w:ascii="Arial" w:hAnsi="Arial" w:cs="Arial"/>
          <w:sz w:val="24"/>
          <w:szCs w:val="24"/>
        </w:rPr>
        <w:t>de culturas particulares</w:t>
      </w:r>
      <w:r>
        <w:rPr>
          <w:rFonts w:ascii="Arial" w:hAnsi="Arial" w:cs="Arial"/>
          <w:sz w:val="24"/>
          <w:szCs w:val="24"/>
        </w:rPr>
        <w:t xml:space="preserve"> y la difusión. </w:t>
      </w:r>
      <w:r w:rsidR="005A12BA">
        <w:rPr>
          <w:rFonts w:ascii="Arial" w:hAnsi="Arial" w:cs="Arial"/>
          <w:sz w:val="24"/>
          <w:szCs w:val="24"/>
        </w:rPr>
        <w:t>(</w:t>
      </w:r>
      <w:r>
        <w:rPr>
          <w:rFonts w:ascii="Arial" w:hAnsi="Arial" w:cs="Arial"/>
          <w:sz w:val="24"/>
          <w:szCs w:val="24"/>
        </w:rPr>
        <w:t>Palerm, 1997).</w:t>
      </w:r>
    </w:p>
    <w:p w14:paraId="07D378A7" w14:textId="204DB1E7" w:rsidR="00403286" w:rsidRDefault="00403286" w:rsidP="00B21BA9">
      <w:pPr>
        <w:pStyle w:val="Prrafodelista"/>
        <w:spacing w:after="0" w:line="360" w:lineRule="auto"/>
        <w:ind w:left="0"/>
        <w:jc w:val="both"/>
        <w:rPr>
          <w:rFonts w:ascii="Arial" w:hAnsi="Arial" w:cs="Arial"/>
          <w:sz w:val="24"/>
          <w:szCs w:val="24"/>
        </w:rPr>
      </w:pPr>
      <w:r>
        <w:rPr>
          <w:rFonts w:ascii="Arial" w:hAnsi="Arial" w:cs="Arial"/>
          <w:sz w:val="24"/>
          <w:szCs w:val="24"/>
        </w:rPr>
        <w:tab/>
        <w:t>Debe tomarse en cuenta</w:t>
      </w:r>
      <w:r w:rsidR="00E863D6">
        <w:rPr>
          <w:rFonts w:ascii="Arial" w:hAnsi="Arial" w:cs="Arial"/>
          <w:sz w:val="24"/>
          <w:szCs w:val="24"/>
        </w:rPr>
        <w:t xml:space="preserve"> que</w:t>
      </w:r>
      <w:r>
        <w:rPr>
          <w:rFonts w:ascii="Arial" w:hAnsi="Arial" w:cs="Arial"/>
          <w:sz w:val="24"/>
          <w:szCs w:val="24"/>
        </w:rPr>
        <w:t xml:space="preserve"> el </w:t>
      </w:r>
      <w:r w:rsidR="00790299">
        <w:rPr>
          <w:rFonts w:ascii="Arial" w:hAnsi="Arial" w:cs="Arial"/>
          <w:sz w:val="24"/>
          <w:szCs w:val="24"/>
        </w:rPr>
        <w:t xml:space="preserve">contexto histórico social mundial está marcado por el triunfo del sistema imperialista. </w:t>
      </w:r>
      <w:r>
        <w:rPr>
          <w:rFonts w:ascii="Arial" w:hAnsi="Arial" w:cs="Arial"/>
          <w:sz w:val="24"/>
          <w:szCs w:val="24"/>
        </w:rPr>
        <w:t xml:space="preserve">El período transcurrido entre 1875 y </w:t>
      </w:r>
      <w:r w:rsidR="00E863D6">
        <w:rPr>
          <w:rFonts w:ascii="Arial" w:hAnsi="Arial" w:cs="Arial"/>
          <w:sz w:val="24"/>
          <w:szCs w:val="24"/>
        </w:rPr>
        <w:t>9</w:t>
      </w:r>
      <w:r>
        <w:rPr>
          <w:rFonts w:ascii="Arial" w:hAnsi="Arial" w:cs="Arial"/>
          <w:sz w:val="24"/>
          <w:szCs w:val="24"/>
        </w:rPr>
        <w:t>814, al que Hobsbawm</w:t>
      </w:r>
      <w:r w:rsidR="00916DF2">
        <w:rPr>
          <w:rFonts w:ascii="Arial" w:hAnsi="Arial" w:cs="Arial"/>
          <w:sz w:val="24"/>
          <w:szCs w:val="24"/>
        </w:rPr>
        <w:t xml:space="preserve"> (2009)</w:t>
      </w:r>
      <w:r>
        <w:rPr>
          <w:rFonts w:ascii="Arial" w:hAnsi="Arial" w:cs="Arial"/>
          <w:sz w:val="24"/>
          <w:szCs w:val="24"/>
        </w:rPr>
        <w:t xml:space="preserve"> califica como “la era del imperio”, se caracterizó por el reparto del mundo entre un número reducido de estados</w:t>
      </w:r>
      <w:r w:rsidR="00916DF2">
        <w:rPr>
          <w:rFonts w:ascii="Arial" w:hAnsi="Arial" w:cs="Arial"/>
          <w:sz w:val="24"/>
          <w:szCs w:val="24"/>
        </w:rPr>
        <w:t xml:space="preserve">. </w:t>
      </w:r>
      <w:r w:rsidR="001D780E">
        <w:rPr>
          <w:rFonts w:ascii="Arial" w:hAnsi="Arial" w:cs="Arial"/>
          <w:sz w:val="24"/>
          <w:szCs w:val="24"/>
        </w:rPr>
        <w:t xml:space="preserve">En estas nuevas condiciones del sistema colonial </w:t>
      </w:r>
      <w:r w:rsidR="00217C5A">
        <w:rPr>
          <w:rFonts w:ascii="Arial" w:hAnsi="Arial" w:cs="Arial"/>
          <w:sz w:val="24"/>
          <w:szCs w:val="24"/>
        </w:rPr>
        <w:t>signadas por la carrera imperialista por el dominio del mundo,</w:t>
      </w:r>
      <w:r w:rsidR="00E772AA">
        <w:rPr>
          <w:rFonts w:ascii="Arial" w:hAnsi="Arial" w:cs="Arial"/>
          <w:sz w:val="24"/>
          <w:szCs w:val="24"/>
        </w:rPr>
        <w:t xml:space="preserve"> y las políticas expansionistas,</w:t>
      </w:r>
      <w:r w:rsidR="00217C5A">
        <w:rPr>
          <w:rFonts w:ascii="Arial" w:hAnsi="Arial" w:cs="Arial"/>
          <w:sz w:val="24"/>
          <w:szCs w:val="24"/>
        </w:rPr>
        <w:t xml:space="preserve"> </w:t>
      </w:r>
      <w:r w:rsidR="001D780E">
        <w:rPr>
          <w:rFonts w:ascii="Arial" w:hAnsi="Arial" w:cs="Arial"/>
          <w:sz w:val="24"/>
          <w:szCs w:val="24"/>
        </w:rPr>
        <w:t>aparecerán las teorías difusionistas</w:t>
      </w:r>
      <w:r w:rsidR="0098598A">
        <w:rPr>
          <w:rFonts w:ascii="Arial" w:hAnsi="Arial" w:cs="Arial"/>
          <w:sz w:val="24"/>
          <w:szCs w:val="24"/>
        </w:rPr>
        <w:t>,</w:t>
      </w:r>
      <w:r w:rsidR="008D082B">
        <w:rPr>
          <w:rFonts w:ascii="Arial" w:hAnsi="Arial" w:cs="Arial"/>
          <w:sz w:val="24"/>
          <w:szCs w:val="24"/>
        </w:rPr>
        <w:t xml:space="preserve"> centradas en</w:t>
      </w:r>
      <w:r w:rsidR="0098598A">
        <w:rPr>
          <w:rFonts w:ascii="Arial" w:hAnsi="Arial" w:cs="Arial"/>
          <w:sz w:val="24"/>
          <w:szCs w:val="24"/>
        </w:rPr>
        <w:t xml:space="preserve"> el interés por comprender</w:t>
      </w:r>
      <w:r w:rsidR="00FE2B12">
        <w:rPr>
          <w:rFonts w:ascii="Arial" w:hAnsi="Arial" w:cs="Arial"/>
          <w:sz w:val="24"/>
          <w:szCs w:val="24"/>
        </w:rPr>
        <w:t xml:space="preserve"> la historia humana a partir de</w:t>
      </w:r>
      <w:r w:rsidR="0098598A">
        <w:rPr>
          <w:rFonts w:ascii="Arial" w:hAnsi="Arial" w:cs="Arial"/>
          <w:sz w:val="24"/>
          <w:szCs w:val="24"/>
        </w:rPr>
        <w:t xml:space="preserve"> los</w:t>
      </w:r>
      <w:r w:rsidR="00601543">
        <w:rPr>
          <w:rFonts w:ascii="Arial" w:hAnsi="Arial" w:cs="Arial"/>
          <w:sz w:val="24"/>
          <w:szCs w:val="24"/>
        </w:rPr>
        <w:t xml:space="preserve"> procesos de contacto</w:t>
      </w:r>
      <w:r w:rsidR="008D082B">
        <w:rPr>
          <w:rFonts w:ascii="Arial" w:hAnsi="Arial" w:cs="Arial"/>
          <w:sz w:val="24"/>
          <w:szCs w:val="24"/>
        </w:rPr>
        <w:t>, migración</w:t>
      </w:r>
      <w:r w:rsidR="00601543">
        <w:rPr>
          <w:rFonts w:ascii="Arial" w:hAnsi="Arial" w:cs="Arial"/>
          <w:sz w:val="24"/>
          <w:szCs w:val="24"/>
        </w:rPr>
        <w:t xml:space="preserve"> y transmisión cultural entre distintos pueblos</w:t>
      </w:r>
    </w:p>
    <w:p w14:paraId="019B23F9" w14:textId="18C4ACBA" w:rsidR="00C3687C" w:rsidRDefault="001C5CDC" w:rsidP="00B21BA9">
      <w:pPr>
        <w:pStyle w:val="Prrafodelista"/>
        <w:spacing w:after="0" w:line="360" w:lineRule="auto"/>
        <w:ind w:left="0"/>
        <w:jc w:val="both"/>
        <w:rPr>
          <w:rFonts w:ascii="Arial" w:hAnsi="Arial" w:cs="Arial"/>
          <w:sz w:val="24"/>
          <w:szCs w:val="24"/>
        </w:rPr>
      </w:pPr>
      <w:r>
        <w:rPr>
          <w:rFonts w:ascii="Arial" w:hAnsi="Arial" w:cs="Arial"/>
          <w:sz w:val="24"/>
          <w:szCs w:val="24"/>
        </w:rPr>
        <w:tab/>
      </w:r>
      <w:r w:rsidR="005A12BA">
        <w:rPr>
          <w:rFonts w:ascii="Arial" w:hAnsi="Arial" w:cs="Arial"/>
          <w:sz w:val="24"/>
          <w:szCs w:val="24"/>
        </w:rPr>
        <w:t>Una de las bases teóricas del difusionismo provendrá del sociólogo y psic</w:t>
      </w:r>
      <w:r>
        <w:rPr>
          <w:rFonts w:ascii="Arial" w:hAnsi="Arial" w:cs="Arial"/>
          <w:sz w:val="24"/>
          <w:szCs w:val="24"/>
        </w:rPr>
        <w:t>ólo</w:t>
      </w:r>
      <w:r w:rsidR="005A12BA">
        <w:rPr>
          <w:rFonts w:ascii="Arial" w:hAnsi="Arial" w:cs="Arial"/>
          <w:sz w:val="24"/>
          <w:szCs w:val="24"/>
        </w:rPr>
        <w:t xml:space="preserve">go social francés </w:t>
      </w:r>
      <w:r w:rsidR="005A12BA" w:rsidRPr="001C5CDC">
        <w:rPr>
          <w:rFonts w:ascii="Arial" w:hAnsi="Arial" w:cs="Arial"/>
          <w:b/>
          <w:bCs/>
          <w:sz w:val="24"/>
          <w:szCs w:val="24"/>
        </w:rPr>
        <w:t>Gabriel de Tarde</w:t>
      </w:r>
      <w:r w:rsidR="00A660E6">
        <w:rPr>
          <w:rFonts w:ascii="Arial" w:hAnsi="Arial" w:cs="Arial"/>
          <w:sz w:val="24"/>
          <w:szCs w:val="24"/>
        </w:rPr>
        <w:t>, cuya influencia sobre las escuelas difusionistas será notable. (Palerm, 1997).</w:t>
      </w:r>
      <w:r w:rsidR="00051BDE">
        <w:rPr>
          <w:rFonts w:ascii="Arial" w:hAnsi="Arial" w:cs="Arial"/>
          <w:sz w:val="24"/>
          <w:szCs w:val="24"/>
        </w:rPr>
        <w:t xml:space="preserve"> En 1890 publica </w:t>
      </w:r>
      <w:r w:rsidR="00051BDE" w:rsidRPr="001C5CDC">
        <w:rPr>
          <w:rFonts w:ascii="Arial" w:hAnsi="Arial" w:cs="Arial"/>
          <w:i/>
          <w:iCs/>
          <w:sz w:val="24"/>
          <w:szCs w:val="24"/>
        </w:rPr>
        <w:t>Las leyes de la imitación</w:t>
      </w:r>
      <w:r w:rsidR="00051BDE">
        <w:rPr>
          <w:rFonts w:ascii="Arial" w:hAnsi="Arial" w:cs="Arial"/>
          <w:sz w:val="24"/>
          <w:szCs w:val="24"/>
        </w:rPr>
        <w:t>, en donde plantea que</w:t>
      </w:r>
      <w:r w:rsidR="00A660E6">
        <w:rPr>
          <w:rFonts w:ascii="Arial" w:hAnsi="Arial" w:cs="Arial"/>
          <w:sz w:val="24"/>
          <w:szCs w:val="24"/>
        </w:rPr>
        <w:t xml:space="preserve"> el ser humano carece de imaginación creadora, y que más que a inventar</w:t>
      </w:r>
      <w:r>
        <w:rPr>
          <w:rFonts w:ascii="Arial" w:hAnsi="Arial" w:cs="Arial"/>
          <w:sz w:val="24"/>
          <w:szCs w:val="24"/>
        </w:rPr>
        <w:t xml:space="preserve"> </w:t>
      </w:r>
      <w:r w:rsidR="00A660E6">
        <w:rPr>
          <w:rFonts w:ascii="Arial" w:hAnsi="Arial" w:cs="Arial"/>
          <w:sz w:val="24"/>
          <w:szCs w:val="24"/>
        </w:rPr>
        <w:t>se dedica a imitar. Para él,</w:t>
      </w:r>
      <w:r w:rsidR="00051BDE">
        <w:rPr>
          <w:rFonts w:ascii="Arial" w:hAnsi="Arial" w:cs="Arial"/>
          <w:sz w:val="24"/>
          <w:szCs w:val="24"/>
        </w:rPr>
        <w:t xml:space="preserve"> el fundamento de la cultura</w:t>
      </w:r>
      <w:r w:rsidR="00A660E6">
        <w:rPr>
          <w:rFonts w:ascii="Arial" w:hAnsi="Arial" w:cs="Arial"/>
          <w:sz w:val="24"/>
          <w:szCs w:val="24"/>
        </w:rPr>
        <w:t xml:space="preserve"> es la imitación, y los procesos de imitación son predominantemente irracionales,</w:t>
      </w:r>
      <w:r>
        <w:rPr>
          <w:rFonts w:ascii="Arial" w:hAnsi="Arial" w:cs="Arial"/>
          <w:sz w:val="24"/>
          <w:szCs w:val="24"/>
        </w:rPr>
        <w:t xml:space="preserve"> </w:t>
      </w:r>
      <w:r w:rsidR="00A660E6">
        <w:rPr>
          <w:rFonts w:ascii="Arial" w:hAnsi="Arial" w:cs="Arial"/>
          <w:sz w:val="24"/>
          <w:szCs w:val="24"/>
        </w:rPr>
        <w:t>no consciente</w:t>
      </w:r>
      <w:r w:rsidR="00ED3FBA">
        <w:rPr>
          <w:rFonts w:ascii="Arial" w:hAnsi="Arial" w:cs="Arial"/>
          <w:sz w:val="24"/>
          <w:szCs w:val="24"/>
        </w:rPr>
        <w:t>s</w:t>
      </w:r>
      <w:r>
        <w:rPr>
          <w:rFonts w:ascii="Arial" w:hAnsi="Arial" w:cs="Arial"/>
          <w:sz w:val="24"/>
          <w:szCs w:val="24"/>
        </w:rPr>
        <w:t>.</w:t>
      </w:r>
      <w:r w:rsidR="00A660E6">
        <w:rPr>
          <w:rFonts w:ascii="Arial" w:hAnsi="Arial" w:cs="Arial"/>
          <w:sz w:val="24"/>
          <w:szCs w:val="24"/>
        </w:rPr>
        <w:t xml:space="preserve"> </w:t>
      </w:r>
      <w:r w:rsidR="00E5572A">
        <w:rPr>
          <w:rFonts w:ascii="Arial" w:hAnsi="Arial" w:cs="Arial"/>
          <w:sz w:val="24"/>
          <w:szCs w:val="24"/>
        </w:rPr>
        <w:t>(</w:t>
      </w:r>
      <w:r w:rsidR="00A660E6">
        <w:rPr>
          <w:rFonts w:ascii="Arial" w:hAnsi="Arial" w:cs="Arial"/>
          <w:sz w:val="24"/>
          <w:szCs w:val="24"/>
        </w:rPr>
        <w:t xml:space="preserve">Palerm, 1997). </w:t>
      </w:r>
      <w:r w:rsidR="00C3687C">
        <w:rPr>
          <w:rFonts w:ascii="Arial" w:hAnsi="Arial" w:cs="Arial"/>
          <w:sz w:val="24"/>
          <w:szCs w:val="24"/>
        </w:rPr>
        <w:tab/>
      </w:r>
      <w:r>
        <w:rPr>
          <w:rFonts w:ascii="Arial" w:hAnsi="Arial" w:cs="Arial"/>
          <w:sz w:val="24"/>
          <w:szCs w:val="24"/>
        </w:rPr>
        <w:t xml:space="preserve"> </w:t>
      </w:r>
    </w:p>
    <w:p w14:paraId="5BF12C80" w14:textId="0578EABE" w:rsidR="00797EBE" w:rsidRDefault="00406607" w:rsidP="00B21BA9">
      <w:pPr>
        <w:pStyle w:val="Prrafodelista"/>
        <w:spacing w:after="0" w:line="360" w:lineRule="auto"/>
        <w:ind w:left="0"/>
        <w:jc w:val="both"/>
        <w:rPr>
          <w:rFonts w:ascii="Arial" w:hAnsi="Arial" w:cs="Arial"/>
          <w:sz w:val="24"/>
          <w:szCs w:val="24"/>
        </w:rPr>
      </w:pPr>
      <w:r>
        <w:rPr>
          <w:rFonts w:ascii="Arial" w:hAnsi="Arial" w:cs="Arial"/>
          <w:sz w:val="24"/>
          <w:szCs w:val="24"/>
        </w:rPr>
        <w:tab/>
      </w:r>
      <w:r w:rsidR="007835E0">
        <w:rPr>
          <w:rFonts w:ascii="Arial" w:hAnsi="Arial" w:cs="Arial"/>
          <w:sz w:val="24"/>
          <w:szCs w:val="24"/>
        </w:rPr>
        <w:t>Por otra parte, será fundamental la influencia de</w:t>
      </w:r>
      <w:r w:rsidR="00A66AF5">
        <w:rPr>
          <w:rFonts w:ascii="Arial" w:hAnsi="Arial" w:cs="Arial"/>
          <w:sz w:val="24"/>
          <w:szCs w:val="24"/>
        </w:rPr>
        <w:t>l alemán</w:t>
      </w:r>
      <w:r>
        <w:rPr>
          <w:rFonts w:ascii="Arial" w:hAnsi="Arial" w:cs="Arial"/>
          <w:sz w:val="24"/>
          <w:szCs w:val="24"/>
        </w:rPr>
        <w:t xml:space="preserve"> </w:t>
      </w:r>
      <w:r w:rsidRPr="007835E0">
        <w:rPr>
          <w:rFonts w:ascii="Arial" w:hAnsi="Arial" w:cs="Arial"/>
          <w:b/>
          <w:bCs/>
          <w:sz w:val="24"/>
          <w:szCs w:val="24"/>
        </w:rPr>
        <w:t>Friedrich Ratzel</w:t>
      </w:r>
      <w:r>
        <w:rPr>
          <w:rFonts w:ascii="Arial" w:hAnsi="Arial" w:cs="Arial"/>
          <w:sz w:val="24"/>
          <w:szCs w:val="24"/>
        </w:rPr>
        <w:t xml:space="preserve"> (1844-1904), creador de la antropogeografía</w:t>
      </w:r>
      <w:r w:rsidR="00E863D6">
        <w:rPr>
          <w:rFonts w:ascii="Arial" w:hAnsi="Arial" w:cs="Arial"/>
          <w:sz w:val="24"/>
          <w:szCs w:val="24"/>
        </w:rPr>
        <w:t>, quien sintoniza</w:t>
      </w:r>
      <w:r w:rsidR="007835E0">
        <w:rPr>
          <w:rFonts w:ascii="Arial" w:hAnsi="Arial" w:cs="Arial"/>
          <w:sz w:val="24"/>
          <w:szCs w:val="24"/>
        </w:rPr>
        <w:t xml:space="preserve"> con los planteos de Tarde</w:t>
      </w:r>
      <w:r>
        <w:rPr>
          <w:rFonts w:ascii="Arial" w:hAnsi="Arial" w:cs="Arial"/>
          <w:sz w:val="24"/>
          <w:szCs w:val="24"/>
        </w:rPr>
        <w:t xml:space="preserve"> </w:t>
      </w:r>
      <w:r w:rsidR="00E863D6">
        <w:rPr>
          <w:rFonts w:ascii="Arial" w:hAnsi="Arial" w:cs="Arial"/>
          <w:sz w:val="24"/>
          <w:szCs w:val="24"/>
        </w:rPr>
        <w:t>-</w:t>
      </w:r>
      <w:r>
        <w:rPr>
          <w:rFonts w:ascii="Arial" w:hAnsi="Arial" w:cs="Arial"/>
          <w:sz w:val="24"/>
          <w:szCs w:val="24"/>
        </w:rPr>
        <w:t>postula que la gente es muy poco inventiva, y considera que los rasgos culturales han sido inventados en muy pocos lugares</w:t>
      </w:r>
      <w:r w:rsidR="00E863D6">
        <w:rPr>
          <w:rFonts w:ascii="Arial" w:hAnsi="Arial" w:cs="Arial"/>
          <w:sz w:val="24"/>
          <w:szCs w:val="24"/>
        </w:rPr>
        <w:t>- diferenciándose de su contemporáneo</w:t>
      </w:r>
      <w:r w:rsidR="00A66AF5">
        <w:rPr>
          <w:rFonts w:ascii="Arial" w:hAnsi="Arial" w:cs="Arial"/>
          <w:sz w:val="24"/>
          <w:szCs w:val="24"/>
        </w:rPr>
        <w:t xml:space="preserve"> y coterráneo</w:t>
      </w:r>
      <w:r w:rsidR="00E863D6">
        <w:rPr>
          <w:rFonts w:ascii="Arial" w:hAnsi="Arial" w:cs="Arial"/>
          <w:sz w:val="24"/>
          <w:szCs w:val="24"/>
        </w:rPr>
        <w:t xml:space="preserve"> Bastian</w:t>
      </w:r>
      <w:r w:rsidR="00E863D6">
        <w:rPr>
          <w:rStyle w:val="Refdenotaalpie"/>
          <w:rFonts w:ascii="Arial" w:hAnsi="Arial" w:cs="Arial"/>
          <w:sz w:val="24"/>
          <w:szCs w:val="24"/>
        </w:rPr>
        <w:footnoteReference w:id="1"/>
      </w:r>
      <w:r>
        <w:rPr>
          <w:rFonts w:ascii="Arial" w:hAnsi="Arial" w:cs="Arial"/>
          <w:sz w:val="24"/>
          <w:szCs w:val="24"/>
        </w:rPr>
        <w:t>.</w:t>
      </w:r>
      <w:r w:rsidR="00E863D6">
        <w:rPr>
          <w:rFonts w:ascii="Arial" w:hAnsi="Arial" w:cs="Arial"/>
          <w:sz w:val="24"/>
          <w:szCs w:val="24"/>
        </w:rPr>
        <w:t xml:space="preserve"> </w:t>
      </w:r>
      <w:r w:rsidR="00797EBE">
        <w:rPr>
          <w:rFonts w:ascii="Arial" w:hAnsi="Arial" w:cs="Arial"/>
          <w:sz w:val="24"/>
          <w:szCs w:val="24"/>
        </w:rPr>
        <w:t xml:space="preserve">Enfatiza la importancia que han tenido en todos los tiempos las migraciones y todo tipo de contactos por guerras, comercio, </w:t>
      </w:r>
      <w:r w:rsidR="00F76C28">
        <w:rPr>
          <w:rFonts w:ascii="Arial" w:hAnsi="Arial" w:cs="Arial"/>
          <w:sz w:val="24"/>
          <w:szCs w:val="24"/>
        </w:rPr>
        <w:t>viajes</w:t>
      </w:r>
      <w:r w:rsidR="00797EBE">
        <w:rPr>
          <w:rFonts w:ascii="Arial" w:hAnsi="Arial" w:cs="Arial"/>
          <w:sz w:val="24"/>
          <w:szCs w:val="24"/>
        </w:rPr>
        <w:t xml:space="preserve">. </w:t>
      </w:r>
      <w:r w:rsidR="00F76C28">
        <w:rPr>
          <w:rFonts w:ascii="Arial" w:hAnsi="Arial" w:cs="Arial"/>
          <w:sz w:val="24"/>
          <w:szCs w:val="24"/>
        </w:rPr>
        <w:t xml:space="preserve">Para Ratzel </w:t>
      </w:r>
      <w:r w:rsidR="00797EBE">
        <w:rPr>
          <w:rFonts w:ascii="Arial" w:hAnsi="Arial" w:cs="Arial"/>
          <w:sz w:val="24"/>
          <w:szCs w:val="24"/>
        </w:rPr>
        <w:t>“</w:t>
      </w:r>
      <w:r w:rsidR="00F76C28">
        <w:rPr>
          <w:rFonts w:ascii="Arial" w:hAnsi="Arial" w:cs="Arial"/>
          <w:sz w:val="24"/>
          <w:szCs w:val="24"/>
        </w:rPr>
        <w:t>s</w:t>
      </w:r>
      <w:r w:rsidR="00797EBE">
        <w:rPr>
          <w:rFonts w:ascii="Arial" w:hAnsi="Arial" w:cs="Arial"/>
          <w:sz w:val="24"/>
          <w:szCs w:val="24"/>
        </w:rPr>
        <w:t>on estos fenómenos los que deben explicar las semejanzas, y de ninguna manera la hipótesis de la unidad psíquica produciendo los mismos fenómenos en forma independiente.” (</w:t>
      </w:r>
      <w:r w:rsidR="00F76C28">
        <w:rPr>
          <w:rFonts w:ascii="Arial" w:hAnsi="Arial" w:cs="Arial"/>
          <w:sz w:val="24"/>
          <w:szCs w:val="24"/>
        </w:rPr>
        <w:t>Palerm, 1997:63).</w:t>
      </w:r>
      <w:r w:rsidR="00BE12A2">
        <w:rPr>
          <w:rFonts w:ascii="Arial" w:hAnsi="Arial" w:cs="Arial"/>
          <w:sz w:val="24"/>
          <w:szCs w:val="24"/>
        </w:rPr>
        <w:t xml:space="preserve"> Representa</w:t>
      </w:r>
      <w:r w:rsidR="00334108">
        <w:rPr>
          <w:rFonts w:ascii="Arial" w:hAnsi="Arial" w:cs="Arial"/>
          <w:sz w:val="24"/>
          <w:szCs w:val="24"/>
        </w:rPr>
        <w:t xml:space="preserve"> en mapas </w:t>
      </w:r>
      <w:r w:rsidR="00334108">
        <w:rPr>
          <w:rFonts w:ascii="Arial" w:hAnsi="Arial" w:cs="Arial"/>
          <w:sz w:val="24"/>
          <w:szCs w:val="24"/>
        </w:rPr>
        <w:lastRenderedPageBreak/>
        <w:t>la distribución geográfica de las culturas, señalando “núcleos principales” desde los cuales se expande la cultura, y “zonas marginales”.</w:t>
      </w:r>
    </w:p>
    <w:p w14:paraId="345B1772" w14:textId="55C6DAB9" w:rsidR="00B21BA9" w:rsidRDefault="00F76C28" w:rsidP="00B21BA9">
      <w:pPr>
        <w:pStyle w:val="Prrafodelista"/>
        <w:spacing w:after="0" w:line="360" w:lineRule="auto"/>
        <w:ind w:left="0"/>
        <w:jc w:val="both"/>
        <w:rPr>
          <w:rFonts w:ascii="Arial" w:hAnsi="Arial" w:cs="Arial"/>
          <w:sz w:val="24"/>
          <w:szCs w:val="24"/>
        </w:rPr>
      </w:pPr>
      <w:r>
        <w:rPr>
          <w:rFonts w:ascii="Arial" w:hAnsi="Arial" w:cs="Arial"/>
          <w:sz w:val="24"/>
          <w:szCs w:val="24"/>
        </w:rPr>
        <w:tab/>
        <w:t>El ambiente intelectual estaba preparado para el surgimiento de las escuelas</w:t>
      </w:r>
      <w:r w:rsidR="00B84237">
        <w:rPr>
          <w:rFonts w:ascii="Arial" w:hAnsi="Arial" w:cs="Arial"/>
          <w:sz w:val="24"/>
          <w:szCs w:val="24"/>
        </w:rPr>
        <w:t xml:space="preserve"> historicistas y</w:t>
      </w:r>
      <w:r>
        <w:rPr>
          <w:rFonts w:ascii="Arial" w:hAnsi="Arial" w:cs="Arial"/>
          <w:sz w:val="24"/>
          <w:szCs w:val="24"/>
        </w:rPr>
        <w:t xml:space="preserve"> difusionistas. </w:t>
      </w:r>
      <w:r w:rsidR="00981694">
        <w:rPr>
          <w:rFonts w:ascii="Arial" w:hAnsi="Arial" w:cs="Arial"/>
          <w:sz w:val="24"/>
          <w:szCs w:val="24"/>
        </w:rPr>
        <w:t>Estas nuevas tendencias antievolucionistas rechazarán con gran energía, “primero, la explicación paralelista de las semejanzas culturales; segundo, la concepción de un proceso de desarrollo idéntico e incluso forzoso, en todas partes del mundo.” (Palerm, 1997: 63).</w:t>
      </w:r>
    </w:p>
    <w:p w14:paraId="48C1CF63" w14:textId="7E4F82D2" w:rsidR="00B84237" w:rsidRDefault="00B84237" w:rsidP="00B21BA9">
      <w:pPr>
        <w:pStyle w:val="Prrafodelista"/>
        <w:spacing w:after="0" w:line="360" w:lineRule="auto"/>
        <w:ind w:left="0"/>
        <w:jc w:val="both"/>
        <w:rPr>
          <w:rFonts w:ascii="Arial" w:hAnsi="Arial" w:cs="Arial"/>
          <w:sz w:val="24"/>
          <w:szCs w:val="24"/>
        </w:rPr>
      </w:pPr>
      <w:r>
        <w:rPr>
          <w:rFonts w:ascii="Arial" w:hAnsi="Arial" w:cs="Arial"/>
          <w:sz w:val="24"/>
          <w:szCs w:val="24"/>
        </w:rPr>
        <w:tab/>
      </w:r>
      <w:r w:rsidR="00595420">
        <w:rPr>
          <w:rFonts w:ascii="Arial" w:hAnsi="Arial" w:cs="Arial"/>
          <w:sz w:val="24"/>
          <w:szCs w:val="24"/>
        </w:rPr>
        <w:t>El pensamiento</w:t>
      </w:r>
      <w:r w:rsidR="0002536C">
        <w:rPr>
          <w:rFonts w:ascii="Arial" w:hAnsi="Arial" w:cs="Arial"/>
          <w:sz w:val="24"/>
          <w:szCs w:val="24"/>
        </w:rPr>
        <w:t xml:space="preserve"> difusionista</w:t>
      </w:r>
      <w:r w:rsidR="00595420">
        <w:rPr>
          <w:rFonts w:ascii="Arial" w:hAnsi="Arial" w:cs="Arial"/>
          <w:sz w:val="24"/>
          <w:szCs w:val="24"/>
        </w:rPr>
        <w:t xml:space="preserve"> </w:t>
      </w:r>
      <w:r w:rsidR="003E1644">
        <w:rPr>
          <w:rFonts w:ascii="Arial" w:hAnsi="Arial" w:cs="Arial"/>
          <w:sz w:val="24"/>
          <w:szCs w:val="24"/>
        </w:rPr>
        <w:t>exhibe</w:t>
      </w:r>
      <w:r w:rsidR="00595420">
        <w:rPr>
          <w:rFonts w:ascii="Arial" w:hAnsi="Arial" w:cs="Arial"/>
          <w:sz w:val="24"/>
          <w:szCs w:val="24"/>
        </w:rPr>
        <w:t xml:space="preserve"> variantes internas, </w:t>
      </w:r>
      <w:r w:rsidR="003E1644">
        <w:rPr>
          <w:rFonts w:ascii="Arial" w:hAnsi="Arial" w:cs="Arial"/>
          <w:sz w:val="24"/>
          <w:szCs w:val="24"/>
        </w:rPr>
        <w:t>expresadas</w:t>
      </w:r>
      <w:r w:rsidR="00595420">
        <w:rPr>
          <w:rFonts w:ascii="Arial" w:hAnsi="Arial" w:cs="Arial"/>
          <w:sz w:val="24"/>
          <w:szCs w:val="24"/>
        </w:rPr>
        <w:t xml:space="preserve"> en las vertientes austro-alemana, inglesa y norteamericana.</w:t>
      </w:r>
    </w:p>
    <w:p w14:paraId="2266366A" w14:textId="77777777" w:rsidR="00BE12A2" w:rsidRDefault="00BE12A2" w:rsidP="00B21BA9">
      <w:pPr>
        <w:pStyle w:val="Prrafodelista"/>
        <w:spacing w:after="0" w:line="360" w:lineRule="auto"/>
        <w:ind w:left="0"/>
        <w:jc w:val="both"/>
        <w:rPr>
          <w:rFonts w:ascii="Arial" w:hAnsi="Arial" w:cs="Arial"/>
          <w:sz w:val="24"/>
          <w:szCs w:val="24"/>
        </w:rPr>
      </w:pPr>
    </w:p>
    <w:p w14:paraId="583E5DFA" w14:textId="2A2E7344" w:rsidR="0002536C" w:rsidRPr="00A867C0" w:rsidRDefault="0002536C" w:rsidP="00334108">
      <w:pPr>
        <w:pStyle w:val="Prrafodelista"/>
        <w:numPr>
          <w:ilvl w:val="0"/>
          <w:numId w:val="4"/>
        </w:numPr>
        <w:spacing w:after="0" w:line="360" w:lineRule="auto"/>
        <w:jc w:val="both"/>
        <w:rPr>
          <w:rFonts w:ascii="Arial" w:hAnsi="Arial" w:cs="Arial"/>
          <w:b/>
          <w:bCs/>
          <w:color w:val="ED7D31" w:themeColor="accent2"/>
          <w:sz w:val="24"/>
          <w:szCs w:val="24"/>
        </w:rPr>
      </w:pPr>
      <w:r w:rsidRPr="00A867C0">
        <w:rPr>
          <w:rFonts w:ascii="Arial" w:hAnsi="Arial" w:cs="Arial"/>
          <w:b/>
          <w:bCs/>
          <w:color w:val="ED7D31" w:themeColor="accent2"/>
          <w:sz w:val="24"/>
          <w:szCs w:val="24"/>
        </w:rPr>
        <w:t>La escuela alemana</w:t>
      </w:r>
      <w:r w:rsidR="00334108" w:rsidRPr="00A867C0">
        <w:rPr>
          <w:rFonts w:ascii="Arial" w:hAnsi="Arial" w:cs="Arial"/>
          <w:b/>
          <w:bCs/>
          <w:color w:val="ED7D31" w:themeColor="accent2"/>
          <w:sz w:val="24"/>
          <w:szCs w:val="24"/>
        </w:rPr>
        <w:t xml:space="preserve"> o escuela de los círculos culturales (Kulturkreise)</w:t>
      </w:r>
    </w:p>
    <w:p w14:paraId="0A4B62CC" w14:textId="33DE66E4" w:rsidR="00497E38" w:rsidRDefault="00A777A7" w:rsidP="00497E38">
      <w:pPr>
        <w:pStyle w:val="Prrafodelista"/>
        <w:spacing w:after="0" w:line="360" w:lineRule="auto"/>
        <w:ind w:left="0"/>
        <w:jc w:val="both"/>
        <w:rPr>
          <w:rFonts w:ascii="Arial" w:hAnsi="Arial" w:cs="Arial"/>
          <w:sz w:val="24"/>
          <w:szCs w:val="24"/>
        </w:rPr>
      </w:pPr>
      <w:r>
        <w:rPr>
          <w:rFonts w:ascii="Arial" w:hAnsi="Arial" w:cs="Arial"/>
          <w:sz w:val="24"/>
          <w:szCs w:val="24"/>
        </w:rPr>
        <w:tab/>
      </w:r>
      <w:r w:rsidR="00334108">
        <w:rPr>
          <w:rFonts w:ascii="Arial" w:hAnsi="Arial" w:cs="Arial"/>
          <w:sz w:val="24"/>
          <w:szCs w:val="24"/>
        </w:rPr>
        <w:t>Toma</w:t>
      </w:r>
      <w:r>
        <w:rPr>
          <w:rFonts w:ascii="Arial" w:hAnsi="Arial" w:cs="Arial"/>
          <w:sz w:val="24"/>
          <w:szCs w:val="24"/>
        </w:rPr>
        <w:t>ndo</w:t>
      </w:r>
      <w:r w:rsidR="00334108">
        <w:rPr>
          <w:rFonts w:ascii="Arial" w:hAnsi="Arial" w:cs="Arial"/>
          <w:sz w:val="24"/>
          <w:szCs w:val="24"/>
        </w:rPr>
        <w:t xml:space="preserve"> como idea central la escasa inventiva humana</w:t>
      </w:r>
      <w:r w:rsidR="00BE12A2">
        <w:rPr>
          <w:rFonts w:ascii="Arial" w:hAnsi="Arial" w:cs="Arial"/>
          <w:sz w:val="24"/>
          <w:szCs w:val="24"/>
        </w:rPr>
        <w:t>, los miembros de esta escuela</w:t>
      </w:r>
      <w:r w:rsidR="006F72F3">
        <w:rPr>
          <w:rFonts w:ascii="Arial" w:hAnsi="Arial" w:cs="Arial"/>
          <w:sz w:val="24"/>
          <w:szCs w:val="24"/>
        </w:rPr>
        <w:t xml:space="preserve"> -cuyo desarrollo institucional se asentó principalmente en Berlín, Munich y Viena-</w:t>
      </w:r>
      <w:r w:rsidR="00334108">
        <w:rPr>
          <w:rFonts w:ascii="Arial" w:hAnsi="Arial" w:cs="Arial"/>
          <w:sz w:val="24"/>
          <w:szCs w:val="24"/>
        </w:rPr>
        <w:t xml:space="preserve"> </w:t>
      </w:r>
      <w:r>
        <w:rPr>
          <w:rFonts w:ascii="Arial" w:hAnsi="Arial" w:cs="Arial"/>
          <w:sz w:val="24"/>
          <w:szCs w:val="24"/>
        </w:rPr>
        <w:t>sostienen</w:t>
      </w:r>
      <w:r w:rsidR="00334108">
        <w:rPr>
          <w:rFonts w:ascii="Arial" w:hAnsi="Arial" w:cs="Arial"/>
          <w:sz w:val="24"/>
          <w:szCs w:val="24"/>
        </w:rPr>
        <w:t xml:space="preserve"> la escasez de centros de desarrollo de cultura. Conciben unos pocos centros de origen del hombre y de sus primeras culturas, que se desarrollan de forma aislada e independiente. En ellos aparecen una serie de complejos culturales que denominan </w:t>
      </w:r>
      <w:r w:rsidR="00334108" w:rsidRPr="00A777A7">
        <w:rPr>
          <w:rFonts w:ascii="Arial" w:hAnsi="Arial" w:cs="Arial"/>
          <w:i/>
          <w:iCs/>
          <w:sz w:val="24"/>
          <w:szCs w:val="24"/>
        </w:rPr>
        <w:t xml:space="preserve">círculos </w:t>
      </w:r>
      <w:r w:rsidR="00334108">
        <w:rPr>
          <w:rFonts w:ascii="Arial" w:hAnsi="Arial" w:cs="Arial"/>
          <w:sz w:val="24"/>
          <w:szCs w:val="24"/>
        </w:rPr>
        <w:t>(</w:t>
      </w:r>
      <w:r w:rsidRPr="00A777A7">
        <w:rPr>
          <w:rFonts w:ascii="Arial" w:hAnsi="Arial" w:cs="Arial"/>
          <w:i/>
          <w:iCs/>
          <w:sz w:val="24"/>
          <w:szCs w:val="24"/>
        </w:rPr>
        <w:t>k</w:t>
      </w:r>
      <w:r w:rsidR="00334108" w:rsidRPr="00A777A7">
        <w:rPr>
          <w:rFonts w:ascii="Arial" w:hAnsi="Arial" w:cs="Arial"/>
          <w:i/>
          <w:iCs/>
          <w:sz w:val="24"/>
          <w:szCs w:val="24"/>
        </w:rPr>
        <w:t>ulturkreise</w:t>
      </w:r>
      <w:r w:rsidR="00334108">
        <w:rPr>
          <w:rFonts w:ascii="Arial" w:hAnsi="Arial" w:cs="Arial"/>
          <w:sz w:val="24"/>
          <w:szCs w:val="24"/>
        </w:rPr>
        <w:t>).</w:t>
      </w:r>
      <w:r w:rsidR="00500ED4" w:rsidRPr="00500ED4">
        <w:rPr>
          <w:rFonts w:ascii="Arial" w:hAnsi="Arial" w:cs="Arial"/>
          <w:sz w:val="24"/>
          <w:szCs w:val="24"/>
        </w:rPr>
        <w:t xml:space="preserve"> </w:t>
      </w:r>
      <w:r w:rsidR="00300D08">
        <w:rPr>
          <w:rFonts w:ascii="Arial" w:hAnsi="Arial" w:cs="Arial"/>
          <w:sz w:val="24"/>
          <w:szCs w:val="24"/>
        </w:rPr>
        <w:t>Para este enfoque, t</w:t>
      </w:r>
      <w:r w:rsidR="00500ED4">
        <w:rPr>
          <w:rFonts w:ascii="Arial" w:hAnsi="Arial" w:cs="Arial"/>
          <w:sz w:val="24"/>
          <w:szCs w:val="24"/>
        </w:rPr>
        <w:t xml:space="preserve">oda cultura innovadora tiende a </w:t>
      </w:r>
      <w:r w:rsidR="00300D08">
        <w:rPr>
          <w:rFonts w:ascii="Arial" w:hAnsi="Arial" w:cs="Arial"/>
          <w:sz w:val="24"/>
          <w:szCs w:val="24"/>
        </w:rPr>
        <w:t>extenderse territorialmente</w:t>
      </w:r>
      <w:r w:rsidR="00500ED4">
        <w:rPr>
          <w:rFonts w:ascii="Arial" w:hAnsi="Arial" w:cs="Arial"/>
          <w:sz w:val="24"/>
          <w:szCs w:val="24"/>
        </w:rPr>
        <w:t xml:space="preserve">, a difundir sus avances. </w:t>
      </w:r>
      <w:r>
        <w:rPr>
          <w:rFonts w:ascii="Arial" w:hAnsi="Arial" w:cs="Arial"/>
          <w:sz w:val="24"/>
          <w:szCs w:val="24"/>
        </w:rPr>
        <w:t xml:space="preserve"> </w:t>
      </w:r>
      <w:r w:rsidR="00300D08">
        <w:rPr>
          <w:rFonts w:ascii="Arial" w:hAnsi="Arial" w:cs="Arial"/>
          <w:sz w:val="24"/>
          <w:szCs w:val="24"/>
        </w:rPr>
        <w:t>S</w:t>
      </w:r>
      <w:r w:rsidR="00244B9E">
        <w:rPr>
          <w:rFonts w:ascii="Arial" w:hAnsi="Arial" w:cs="Arial"/>
          <w:sz w:val="24"/>
          <w:szCs w:val="24"/>
        </w:rPr>
        <w:t>e denomina círculos culturales a aquellos centros o áreas territoriales en los que se consolida y difunde una cultura.</w:t>
      </w:r>
    </w:p>
    <w:p w14:paraId="471475A7" w14:textId="69AC8774" w:rsidR="00497E38" w:rsidRPr="00497E38" w:rsidRDefault="00497E38" w:rsidP="00497E38">
      <w:pPr>
        <w:pStyle w:val="Prrafodelista"/>
        <w:spacing w:after="0" w:line="360" w:lineRule="auto"/>
        <w:ind w:left="0"/>
        <w:jc w:val="center"/>
        <w:rPr>
          <w:rFonts w:ascii="Arial" w:hAnsi="Arial" w:cs="Arial"/>
          <w:sz w:val="24"/>
          <w:szCs w:val="24"/>
          <w:vertAlign w:val="superscript"/>
        </w:rPr>
      </w:pPr>
      <w:r>
        <w:rPr>
          <w:rFonts w:ascii="Arial" w:hAnsi="Arial" w:cs="Arial"/>
          <w:noProof/>
          <w:sz w:val="24"/>
          <w:szCs w:val="24"/>
        </w:rPr>
        <w:drawing>
          <wp:anchor distT="0" distB="0" distL="114300" distR="114300" simplePos="0" relativeHeight="251658240" behindDoc="0" locked="0" layoutInCell="1" allowOverlap="1" wp14:anchorId="72B564CB" wp14:editId="08F14F1B">
            <wp:simplePos x="0" y="0"/>
            <wp:positionH relativeFrom="column">
              <wp:posOffset>1946275</wp:posOffset>
            </wp:positionH>
            <wp:positionV relativeFrom="paragraph">
              <wp:posOffset>249238</wp:posOffset>
            </wp:positionV>
            <wp:extent cx="1694180" cy="1104265"/>
            <wp:effectExtent l="19050" t="19050" r="20320" b="19685"/>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8">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1694180" cy="1104265"/>
                    </a:xfrm>
                    <a:prstGeom prst="rect">
                      <a:avLst/>
                    </a:prstGeom>
                    <a:ln w="12700">
                      <a:solidFill>
                        <a:schemeClr val="accent2"/>
                      </a:solidFill>
                    </a:ln>
                  </pic:spPr>
                </pic:pic>
              </a:graphicData>
            </a:graphic>
            <wp14:sizeRelH relativeFrom="page">
              <wp14:pctWidth>0</wp14:pctWidth>
            </wp14:sizeRelH>
            <wp14:sizeRelV relativeFrom="page">
              <wp14:pctHeight>0</wp14:pctHeight>
            </wp14:sizeRelV>
          </wp:anchor>
        </w:drawing>
      </w:r>
    </w:p>
    <w:p w14:paraId="074FDB56" w14:textId="688239DE" w:rsidR="00497E38" w:rsidRPr="00497E38" w:rsidRDefault="00497E38" w:rsidP="00497E38">
      <w:pPr>
        <w:pStyle w:val="Prrafodelista"/>
        <w:spacing w:after="0" w:line="240" w:lineRule="atLeast"/>
        <w:ind w:left="0"/>
        <w:jc w:val="center"/>
        <w:rPr>
          <w:rFonts w:ascii="Arial" w:hAnsi="Arial" w:cs="Arial"/>
          <w:sz w:val="16"/>
          <w:szCs w:val="16"/>
        </w:rPr>
      </w:pPr>
      <w:r w:rsidRPr="00497E38">
        <w:rPr>
          <w:rFonts w:ascii="Arial" w:hAnsi="Arial" w:cs="Arial"/>
          <w:sz w:val="16"/>
          <w:szCs w:val="16"/>
        </w:rPr>
        <w:t>L. Frobenius</w:t>
      </w:r>
    </w:p>
    <w:p w14:paraId="7580145F" w14:textId="58F31A05" w:rsidR="00916DF2" w:rsidRPr="00497E38" w:rsidRDefault="00497E38" w:rsidP="00497E38">
      <w:pPr>
        <w:pStyle w:val="Prrafodelista"/>
        <w:spacing w:after="0" w:line="240" w:lineRule="atLeast"/>
        <w:ind w:left="0"/>
        <w:jc w:val="center"/>
        <w:rPr>
          <w:rFonts w:ascii="Arial" w:hAnsi="Arial" w:cs="Arial"/>
          <w:sz w:val="20"/>
          <w:szCs w:val="20"/>
        </w:rPr>
      </w:pPr>
      <w:hyperlink r:id="rId9" w:history="1">
        <w:r w:rsidRPr="002B1070">
          <w:rPr>
            <w:rStyle w:val="Hipervnculo"/>
            <w:rFonts w:ascii="Arial" w:hAnsi="Arial" w:cs="Arial"/>
            <w:sz w:val="16"/>
            <w:szCs w:val="16"/>
            <w:vertAlign w:val="subscript"/>
          </w:rPr>
          <w:t>https://artkarel.com/splendeur-royaume-ife-benin/</w:t>
        </w:r>
      </w:hyperlink>
    </w:p>
    <w:p w14:paraId="7D18CAAE" w14:textId="76E2180B" w:rsidR="00497E38" w:rsidRPr="00627DF9" w:rsidRDefault="00497E38" w:rsidP="00497E38">
      <w:pPr>
        <w:pStyle w:val="Prrafodelista"/>
        <w:spacing w:after="0" w:line="360" w:lineRule="auto"/>
        <w:ind w:left="0"/>
        <w:jc w:val="center"/>
        <w:rPr>
          <w:rFonts w:ascii="Arial" w:hAnsi="Arial" w:cs="Arial"/>
          <w:sz w:val="20"/>
          <w:szCs w:val="20"/>
        </w:rPr>
      </w:pPr>
    </w:p>
    <w:p w14:paraId="2B9DAFDB" w14:textId="77777777" w:rsidR="00314404" w:rsidRDefault="001F2866" w:rsidP="00B21BA9">
      <w:pPr>
        <w:pStyle w:val="Prrafodelista"/>
        <w:spacing w:after="0" w:line="360" w:lineRule="auto"/>
        <w:ind w:left="0"/>
        <w:jc w:val="both"/>
        <w:rPr>
          <w:rFonts w:ascii="Arial" w:hAnsi="Arial" w:cs="Arial"/>
          <w:sz w:val="24"/>
          <w:szCs w:val="24"/>
        </w:rPr>
      </w:pPr>
      <w:r>
        <w:rPr>
          <w:rFonts w:ascii="Arial" w:hAnsi="Arial" w:cs="Arial"/>
          <w:sz w:val="24"/>
          <w:szCs w:val="24"/>
        </w:rPr>
        <w:tab/>
      </w:r>
      <w:r w:rsidR="000E611B">
        <w:rPr>
          <w:rFonts w:ascii="Arial" w:hAnsi="Arial" w:cs="Arial"/>
          <w:sz w:val="24"/>
          <w:szCs w:val="24"/>
        </w:rPr>
        <w:t xml:space="preserve">Quien </w:t>
      </w:r>
      <w:r w:rsidR="00144BBB">
        <w:rPr>
          <w:rFonts w:ascii="Arial" w:hAnsi="Arial" w:cs="Arial"/>
          <w:sz w:val="24"/>
          <w:szCs w:val="24"/>
        </w:rPr>
        <w:t>definió</w:t>
      </w:r>
      <w:r w:rsidR="000E611B">
        <w:rPr>
          <w:rFonts w:ascii="Arial" w:hAnsi="Arial" w:cs="Arial"/>
          <w:sz w:val="24"/>
          <w:szCs w:val="24"/>
        </w:rPr>
        <w:t xml:space="preserve"> </w:t>
      </w:r>
      <w:r w:rsidR="00144BBB">
        <w:rPr>
          <w:rFonts w:ascii="Arial" w:hAnsi="Arial" w:cs="Arial"/>
          <w:sz w:val="24"/>
          <w:szCs w:val="24"/>
        </w:rPr>
        <w:t>esas</w:t>
      </w:r>
      <w:r w:rsidR="000E611B">
        <w:rPr>
          <w:rFonts w:ascii="Arial" w:hAnsi="Arial" w:cs="Arial"/>
          <w:sz w:val="24"/>
          <w:szCs w:val="24"/>
        </w:rPr>
        <w:t xml:space="preserve"> áreas </w:t>
      </w:r>
      <w:r w:rsidR="00036E6A">
        <w:rPr>
          <w:rFonts w:ascii="Arial" w:hAnsi="Arial" w:cs="Arial"/>
          <w:sz w:val="24"/>
          <w:szCs w:val="24"/>
        </w:rPr>
        <w:t>nucleares de difusión</w:t>
      </w:r>
      <w:r w:rsidR="000E611B">
        <w:rPr>
          <w:rFonts w:ascii="Arial" w:hAnsi="Arial" w:cs="Arial"/>
          <w:sz w:val="24"/>
          <w:szCs w:val="24"/>
        </w:rPr>
        <w:t xml:space="preserve"> con el término alemán </w:t>
      </w:r>
      <w:r w:rsidR="000E611B" w:rsidRPr="000E611B">
        <w:rPr>
          <w:rFonts w:ascii="Arial" w:hAnsi="Arial" w:cs="Arial"/>
          <w:i/>
          <w:iCs/>
          <w:sz w:val="24"/>
          <w:szCs w:val="24"/>
        </w:rPr>
        <w:t>kulturkreis</w:t>
      </w:r>
      <w:r w:rsidR="000E611B">
        <w:rPr>
          <w:rFonts w:ascii="Arial" w:hAnsi="Arial" w:cs="Arial"/>
          <w:sz w:val="24"/>
          <w:szCs w:val="24"/>
        </w:rPr>
        <w:t>, fue el</w:t>
      </w:r>
      <w:r w:rsidR="00743E0E">
        <w:rPr>
          <w:rFonts w:ascii="Arial" w:hAnsi="Arial" w:cs="Arial"/>
          <w:sz w:val="24"/>
          <w:szCs w:val="24"/>
        </w:rPr>
        <w:t xml:space="preserve"> arqueólogo y</w:t>
      </w:r>
      <w:r w:rsidR="000E611B">
        <w:rPr>
          <w:rFonts w:ascii="Arial" w:hAnsi="Arial" w:cs="Arial"/>
          <w:sz w:val="24"/>
          <w:szCs w:val="24"/>
        </w:rPr>
        <w:t xml:space="preserve"> antropólogo alemán </w:t>
      </w:r>
      <w:r w:rsidR="000E611B" w:rsidRPr="000E611B">
        <w:rPr>
          <w:rFonts w:ascii="Arial" w:hAnsi="Arial" w:cs="Arial"/>
          <w:b/>
          <w:bCs/>
          <w:sz w:val="24"/>
          <w:szCs w:val="24"/>
        </w:rPr>
        <w:t>Leo Frobenius</w:t>
      </w:r>
      <w:r w:rsidR="000E611B">
        <w:rPr>
          <w:rFonts w:ascii="Arial" w:hAnsi="Arial" w:cs="Arial"/>
          <w:sz w:val="24"/>
          <w:szCs w:val="24"/>
        </w:rPr>
        <w:t xml:space="preserve"> (1873-19</w:t>
      </w:r>
      <w:r w:rsidR="00D503E0">
        <w:rPr>
          <w:rFonts w:ascii="Arial" w:hAnsi="Arial" w:cs="Arial"/>
          <w:sz w:val="24"/>
          <w:szCs w:val="24"/>
        </w:rPr>
        <w:t>3</w:t>
      </w:r>
      <w:r w:rsidR="000E611B">
        <w:rPr>
          <w:rFonts w:ascii="Arial" w:hAnsi="Arial" w:cs="Arial"/>
          <w:sz w:val="24"/>
          <w:szCs w:val="24"/>
        </w:rPr>
        <w:t>8)</w:t>
      </w:r>
      <w:r w:rsidR="00144BBB">
        <w:rPr>
          <w:rFonts w:ascii="Arial" w:hAnsi="Arial" w:cs="Arial"/>
          <w:sz w:val="24"/>
          <w:szCs w:val="24"/>
        </w:rPr>
        <w:t xml:space="preserve">. Discípulo de Ratzel, Frobenius dio un gran paso al subrayar que los rasgos no se difunden aisladamente, sino en </w:t>
      </w:r>
      <w:r w:rsidR="00284AEE">
        <w:rPr>
          <w:rFonts w:ascii="Arial" w:hAnsi="Arial" w:cs="Arial"/>
          <w:sz w:val="24"/>
          <w:szCs w:val="24"/>
        </w:rPr>
        <w:t xml:space="preserve">conjunto: </w:t>
      </w:r>
      <w:r w:rsidR="006A6FFE">
        <w:rPr>
          <w:rFonts w:ascii="Arial" w:hAnsi="Arial" w:cs="Arial"/>
          <w:sz w:val="24"/>
          <w:szCs w:val="24"/>
        </w:rPr>
        <w:t>“</w:t>
      </w:r>
      <w:r w:rsidR="00144BBB" w:rsidRPr="00144BBB">
        <w:rPr>
          <w:rFonts w:ascii="Arial" w:hAnsi="Arial" w:cs="Arial"/>
          <w:sz w:val="24"/>
          <w:szCs w:val="24"/>
        </w:rPr>
        <w:t>no son sólo particulares elementos culturales los que viajan, sino que son también complejos co</w:t>
      </w:r>
      <w:r w:rsidR="00144BBB">
        <w:rPr>
          <w:rFonts w:ascii="Arial" w:hAnsi="Arial" w:cs="Arial"/>
          <w:sz w:val="24"/>
          <w:szCs w:val="24"/>
        </w:rPr>
        <w:t>n</w:t>
      </w:r>
      <w:r w:rsidR="00144BBB" w:rsidRPr="00144BBB">
        <w:rPr>
          <w:rFonts w:ascii="Arial" w:hAnsi="Arial" w:cs="Arial"/>
          <w:sz w:val="24"/>
          <w:szCs w:val="24"/>
        </w:rPr>
        <w:t xml:space="preserve">juntos culturales </w:t>
      </w:r>
      <w:r w:rsidR="00144BBB" w:rsidRPr="00144BBB">
        <w:rPr>
          <w:rFonts w:ascii="Arial" w:hAnsi="Arial" w:cs="Arial"/>
          <w:sz w:val="24"/>
          <w:szCs w:val="24"/>
        </w:rPr>
        <w:lastRenderedPageBreak/>
        <w:t>los que se ponen en movimiento.</w:t>
      </w:r>
      <w:r w:rsidR="00144BBB">
        <w:rPr>
          <w:rFonts w:ascii="Arial" w:hAnsi="Arial" w:cs="Arial"/>
          <w:sz w:val="24"/>
          <w:szCs w:val="24"/>
        </w:rPr>
        <w:t>” (Lisón Tolosana, 1971: 74)</w:t>
      </w:r>
      <w:r w:rsidR="0007347C">
        <w:rPr>
          <w:rFonts w:ascii="Arial" w:hAnsi="Arial" w:cs="Arial"/>
          <w:sz w:val="24"/>
          <w:szCs w:val="24"/>
        </w:rPr>
        <w:t xml:space="preserve"> Así, </w:t>
      </w:r>
      <w:r w:rsidR="00314404">
        <w:rPr>
          <w:rFonts w:ascii="Arial" w:hAnsi="Arial" w:cs="Arial"/>
          <w:sz w:val="24"/>
          <w:szCs w:val="24"/>
        </w:rPr>
        <w:t xml:space="preserve">siguiendo las trayectorias de expansión desde las áreas nucleares, </w:t>
      </w:r>
      <w:r w:rsidR="0007347C">
        <w:rPr>
          <w:rFonts w:ascii="Arial" w:hAnsi="Arial" w:cs="Arial"/>
          <w:sz w:val="24"/>
          <w:szCs w:val="24"/>
        </w:rPr>
        <w:t>delineó en</w:t>
      </w:r>
      <w:r w:rsidR="00CF3244">
        <w:rPr>
          <w:rFonts w:ascii="Arial" w:hAnsi="Arial" w:cs="Arial"/>
          <w:sz w:val="24"/>
          <w:szCs w:val="24"/>
        </w:rPr>
        <w:t xml:space="preserve"> mapas diversos círculos culturales, esto es, regiones geográficas</w:t>
      </w:r>
      <w:r w:rsidR="005075C6">
        <w:rPr>
          <w:rFonts w:ascii="Arial" w:hAnsi="Arial" w:cs="Arial"/>
          <w:sz w:val="24"/>
          <w:szCs w:val="24"/>
        </w:rPr>
        <w:t xml:space="preserve"> en las cuales distintos pueblos</w:t>
      </w:r>
      <w:r w:rsidR="00CF3244">
        <w:rPr>
          <w:rFonts w:ascii="Arial" w:hAnsi="Arial" w:cs="Arial"/>
          <w:sz w:val="24"/>
          <w:szCs w:val="24"/>
        </w:rPr>
        <w:t xml:space="preserve"> comparten simila</w:t>
      </w:r>
      <w:r w:rsidR="0007347C">
        <w:rPr>
          <w:rFonts w:ascii="Arial" w:hAnsi="Arial" w:cs="Arial"/>
          <w:sz w:val="24"/>
          <w:szCs w:val="24"/>
        </w:rPr>
        <w:t>res complejos culturale</w:t>
      </w:r>
      <w:r w:rsidR="00A072F3">
        <w:rPr>
          <w:rFonts w:ascii="Arial" w:hAnsi="Arial" w:cs="Arial"/>
          <w:sz w:val="24"/>
          <w:szCs w:val="24"/>
        </w:rPr>
        <w:t>s</w:t>
      </w:r>
      <w:r w:rsidR="003E77A7">
        <w:rPr>
          <w:rFonts w:ascii="Arial" w:hAnsi="Arial" w:cs="Arial"/>
          <w:sz w:val="24"/>
          <w:szCs w:val="24"/>
        </w:rPr>
        <w:t xml:space="preserve"> cohesionados.</w:t>
      </w:r>
      <w:r w:rsidR="00144BBB">
        <w:rPr>
          <w:rFonts w:ascii="Arial" w:hAnsi="Arial" w:cs="Arial"/>
          <w:sz w:val="24"/>
          <w:szCs w:val="24"/>
        </w:rPr>
        <w:t xml:space="preserve"> </w:t>
      </w:r>
    </w:p>
    <w:p w14:paraId="570C681F" w14:textId="3A88013D" w:rsidR="00981694" w:rsidRDefault="00314404" w:rsidP="00B21BA9">
      <w:pPr>
        <w:pStyle w:val="Prrafodelista"/>
        <w:spacing w:after="0" w:line="360" w:lineRule="auto"/>
        <w:ind w:left="0"/>
        <w:jc w:val="both"/>
        <w:rPr>
          <w:rFonts w:ascii="Arial" w:hAnsi="Arial" w:cs="Arial"/>
          <w:sz w:val="24"/>
          <w:szCs w:val="24"/>
        </w:rPr>
      </w:pPr>
      <w:r>
        <w:rPr>
          <w:rFonts w:ascii="Arial" w:hAnsi="Arial" w:cs="Arial"/>
          <w:sz w:val="24"/>
          <w:szCs w:val="24"/>
        </w:rPr>
        <w:tab/>
      </w:r>
      <w:r w:rsidR="00144BBB">
        <w:rPr>
          <w:rFonts w:ascii="Arial" w:hAnsi="Arial" w:cs="Arial"/>
          <w:sz w:val="24"/>
          <w:szCs w:val="24"/>
        </w:rPr>
        <w:t xml:space="preserve">Frobenius abordó a la cultura desde una </w:t>
      </w:r>
      <w:r w:rsidR="003070A9">
        <w:rPr>
          <w:rFonts w:ascii="Arial" w:hAnsi="Arial" w:cs="Arial"/>
          <w:sz w:val="24"/>
          <w:szCs w:val="24"/>
        </w:rPr>
        <w:t>visión</w:t>
      </w:r>
      <w:r w:rsidR="00144BBB">
        <w:rPr>
          <w:rFonts w:ascii="Arial" w:hAnsi="Arial" w:cs="Arial"/>
          <w:sz w:val="24"/>
          <w:szCs w:val="24"/>
        </w:rPr>
        <w:t xml:space="preserve"> organicista</w:t>
      </w:r>
      <w:r w:rsidR="00743E0E">
        <w:rPr>
          <w:rFonts w:ascii="Arial" w:hAnsi="Arial" w:cs="Arial"/>
          <w:sz w:val="24"/>
          <w:szCs w:val="24"/>
        </w:rPr>
        <w:t>.</w:t>
      </w:r>
      <w:r w:rsidR="003148EA">
        <w:rPr>
          <w:rFonts w:ascii="Arial" w:hAnsi="Arial" w:cs="Arial"/>
          <w:sz w:val="24"/>
          <w:szCs w:val="24"/>
        </w:rPr>
        <w:t xml:space="preserve"> </w:t>
      </w:r>
      <w:r w:rsidR="005075C6">
        <w:rPr>
          <w:rFonts w:ascii="Arial" w:hAnsi="Arial" w:cs="Arial"/>
          <w:sz w:val="24"/>
          <w:szCs w:val="24"/>
        </w:rPr>
        <w:t>Su concepción de la cultura en cuanto organismo con vida propia fue muy influyente</w:t>
      </w:r>
      <w:r w:rsidR="008744F0">
        <w:rPr>
          <w:rFonts w:ascii="Arial" w:hAnsi="Arial" w:cs="Arial"/>
          <w:sz w:val="24"/>
          <w:szCs w:val="24"/>
        </w:rPr>
        <w:t>.</w:t>
      </w:r>
      <w:r w:rsidR="005075C6">
        <w:rPr>
          <w:rFonts w:ascii="Arial" w:hAnsi="Arial" w:cs="Arial"/>
          <w:sz w:val="24"/>
          <w:szCs w:val="24"/>
        </w:rPr>
        <w:t>.</w:t>
      </w:r>
      <w:r w:rsidR="00743E0E">
        <w:rPr>
          <w:rFonts w:ascii="Arial" w:hAnsi="Arial" w:cs="Arial"/>
          <w:sz w:val="24"/>
          <w:szCs w:val="24"/>
        </w:rPr>
        <w:t xml:space="preserve"> Enfatizó el carácter vivo de la</w:t>
      </w:r>
      <w:r w:rsidR="003148EA">
        <w:rPr>
          <w:rFonts w:ascii="Arial" w:hAnsi="Arial" w:cs="Arial"/>
          <w:sz w:val="24"/>
          <w:szCs w:val="24"/>
        </w:rPr>
        <w:t>s</w:t>
      </w:r>
      <w:r w:rsidR="00743E0E">
        <w:rPr>
          <w:rFonts w:ascii="Arial" w:hAnsi="Arial" w:cs="Arial"/>
          <w:sz w:val="24"/>
          <w:szCs w:val="24"/>
        </w:rPr>
        <w:t xml:space="preserve"> cultur</w:t>
      </w:r>
      <w:r w:rsidR="00627DF9">
        <w:rPr>
          <w:rFonts w:ascii="Arial" w:hAnsi="Arial" w:cs="Arial"/>
          <w:sz w:val="24"/>
          <w:szCs w:val="24"/>
        </w:rPr>
        <w:t>a</w:t>
      </w:r>
      <w:r w:rsidR="003148EA">
        <w:rPr>
          <w:rFonts w:ascii="Arial" w:hAnsi="Arial" w:cs="Arial"/>
          <w:sz w:val="24"/>
          <w:szCs w:val="24"/>
        </w:rPr>
        <w:t>s, que despliegan un ciclo vital como otros seres vivientes, desde su formación hasta su descomposición</w:t>
      </w:r>
      <w:r w:rsidR="00627DF9">
        <w:rPr>
          <w:rFonts w:ascii="Arial" w:hAnsi="Arial" w:cs="Arial"/>
          <w:sz w:val="24"/>
          <w:szCs w:val="24"/>
        </w:rPr>
        <w:t>.</w:t>
      </w:r>
      <w:r w:rsidR="00A072F3">
        <w:rPr>
          <w:rFonts w:ascii="Arial" w:hAnsi="Arial" w:cs="Arial"/>
          <w:sz w:val="24"/>
          <w:szCs w:val="24"/>
        </w:rPr>
        <w:t xml:space="preserve"> </w:t>
      </w:r>
      <w:r w:rsidR="00743E0E">
        <w:rPr>
          <w:rFonts w:ascii="Arial" w:hAnsi="Arial" w:cs="Arial"/>
          <w:sz w:val="24"/>
          <w:szCs w:val="24"/>
        </w:rPr>
        <w:t xml:space="preserve">En cuanto organismo vivo, </w:t>
      </w:r>
      <w:r w:rsidR="003148EA">
        <w:rPr>
          <w:rFonts w:ascii="Arial" w:hAnsi="Arial" w:cs="Arial"/>
          <w:sz w:val="24"/>
          <w:szCs w:val="24"/>
        </w:rPr>
        <w:t>toda</w:t>
      </w:r>
      <w:r w:rsidR="00743E0E">
        <w:rPr>
          <w:rFonts w:ascii="Arial" w:hAnsi="Arial" w:cs="Arial"/>
          <w:sz w:val="24"/>
          <w:szCs w:val="24"/>
        </w:rPr>
        <w:t xml:space="preserve"> cultura “tiene un nacimiento, una infancia, una edad adulta, una vejez y al fin una destrucción” (Forbenius, 1898, citado en Arcella, 2016: 224).</w:t>
      </w:r>
      <w:r w:rsidR="00627DF9">
        <w:rPr>
          <w:rFonts w:ascii="Arial" w:hAnsi="Arial" w:cs="Arial"/>
          <w:sz w:val="24"/>
          <w:szCs w:val="24"/>
        </w:rPr>
        <w:t xml:space="preserve"> </w:t>
      </w:r>
      <w:r w:rsidR="0009092E">
        <w:rPr>
          <w:rFonts w:ascii="Arial" w:hAnsi="Arial" w:cs="Arial"/>
          <w:sz w:val="24"/>
          <w:szCs w:val="24"/>
        </w:rPr>
        <w:t>En 1989, Frobenius escribió que l</w:t>
      </w:r>
      <w:r w:rsidR="001B48F5">
        <w:rPr>
          <w:rFonts w:ascii="Arial" w:hAnsi="Arial" w:cs="Arial"/>
          <w:sz w:val="24"/>
          <w:szCs w:val="24"/>
        </w:rPr>
        <w:t>a cultura</w:t>
      </w:r>
      <w:r w:rsidR="00A072F3">
        <w:rPr>
          <w:rFonts w:ascii="Arial" w:hAnsi="Arial" w:cs="Arial"/>
          <w:sz w:val="24"/>
          <w:szCs w:val="24"/>
        </w:rPr>
        <w:t xml:space="preserve"> “es frente a sus representantes humanos un organismo absoluto; cada forma cultural tiene que ser comparada a un ser vivo individual que pasa por el nacimiento, por una edad infantil, viril y senil</w:t>
      </w:r>
      <w:r w:rsidR="0009092E">
        <w:rPr>
          <w:rFonts w:ascii="Arial" w:hAnsi="Arial" w:cs="Arial"/>
          <w:sz w:val="24"/>
          <w:szCs w:val="24"/>
        </w:rPr>
        <w:t xml:space="preserve">. Las formas culturales están sometidas a procesos de crecimiento que corresponden al desarrollo del individuo humano. Son torpes y pesadas en su juventud, enérgicas y decididas en su edad viril, vacilantes en las culturas seniles, etc. Sobre todo, no es la voluntad del hombre la que produce las culturas, es la cultura la que vive sobre el hombre (hoy diría: la que atraviesa al hombre). </w:t>
      </w:r>
      <w:r w:rsidR="001B48F5">
        <w:rPr>
          <w:rFonts w:ascii="Arial" w:hAnsi="Arial" w:cs="Arial"/>
          <w:sz w:val="24"/>
          <w:szCs w:val="24"/>
        </w:rPr>
        <w:t xml:space="preserve"> La cultura está ligada, según sus formas, a territorios determinados: los círculos culturales</w:t>
      </w:r>
      <w:r w:rsidR="00BE12A2">
        <w:rPr>
          <w:rFonts w:ascii="Arial" w:hAnsi="Arial" w:cs="Arial"/>
          <w:sz w:val="24"/>
          <w:szCs w:val="24"/>
        </w:rPr>
        <w:t xml:space="preserve"> </w:t>
      </w:r>
      <w:r w:rsidR="001B48F5">
        <w:rPr>
          <w:rFonts w:ascii="Arial" w:hAnsi="Arial" w:cs="Arial"/>
          <w:sz w:val="24"/>
          <w:szCs w:val="24"/>
        </w:rPr>
        <w:t xml:space="preserve">(…)” (Frobenius, </w:t>
      </w:r>
      <w:r w:rsidR="0009092E">
        <w:rPr>
          <w:rFonts w:ascii="Arial" w:hAnsi="Arial" w:cs="Arial"/>
          <w:sz w:val="24"/>
          <w:szCs w:val="24"/>
        </w:rPr>
        <w:t xml:space="preserve">1898, </w:t>
      </w:r>
      <w:r w:rsidR="001B48F5">
        <w:rPr>
          <w:rFonts w:ascii="Arial" w:hAnsi="Arial" w:cs="Arial"/>
          <w:sz w:val="24"/>
          <w:szCs w:val="24"/>
        </w:rPr>
        <w:t>citado en Ramos, 1943).</w:t>
      </w:r>
    </w:p>
    <w:p w14:paraId="52ABF49C" w14:textId="1F338483" w:rsidR="00111241" w:rsidRDefault="00111241" w:rsidP="00B21BA9">
      <w:pPr>
        <w:pStyle w:val="Prrafodelista"/>
        <w:spacing w:after="0" w:line="360" w:lineRule="auto"/>
        <w:ind w:left="0"/>
        <w:jc w:val="both"/>
        <w:rPr>
          <w:rFonts w:ascii="Arial" w:hAnsi="Arial" w:cs="Arial"/>
          <w:sz w:val="24"/>
          <w:szCs w:val="24"/>
        </w:rPr>
      </w:pPr>
      <w:r>
        <w:rPr>
          <w:rFonts w:ascii="Arial" w:hAnsi="Arial" w:cs="Arial"/>
          <w:sz w:val="24"/>
          <w:szCs w:val="24"/>
        </w:rPr>
        <w:tab/>
        <w:t>La concepción organicista también implica unidad, por lo cual, no se puede estudiar una sociedad separándola en sus elementos, “sino solo en su forma global, que se expresa en un principio que la trasciende” (Arcella, 2017:225).</w:t>
      </w:r>
    </w:p>
    <w:p w14:paraId="70641125" w14:textId="2F59C6BE" w:rsidR="00111241" w:rsidRPr="00144BBB" w:rsidRDefault="00504C10" w:rsidP="00B21BA9">
      <w:pPr>
        <w:pStyle w:val="Prrafodelista"/>
        <w:spacing w:after="0" w:line="360" w:lineRule="auto"/>
        <w:ind w:left="0"/>
        <w:jc w:val="both"/>
        <w:rPr>
          <w:rFonts w:ascii="Arial" w:hAnsi="Arial" w:cs="Arial"/>
          <w:sz w:val="24"/>
          <w:szCs w:val="24"/>
        </w:rPr>
      </w:pPr>
      <w:r>
        <w:rPr>
          <w:rFonts w:ascii="Arial" w:hAnsi="Arial" w:cs="Arial"/>
          <w:sz w:val="24"/>
          <w:szCs w:val="24"/>
        </w:rPr>
        <w:tab/>
        <w:t xml:space="preserve">Así, en su obra </w:t>
      </w:r>
      <w:r w:rsidRPr="00504C10">
        <w:rPr>
          <w:rFonts w:ascii="Arial" w:hAnsi="Arial" w:cs="Arial"/>
          <w:i/>
          <w:iCs/>
          <w:sz w:val="24"/>
          <w:szCs w:val="24"/>
        </w:rPr>
        <w:t>Paideuma</w:t>
      </w:r>
      <w:r>
        <w:rPr>
          <w:rFonts w:ascii="Arial" w:hAnsi="Arial" w:cs="Arial"/>
          <w:sz w:val="24"/>
          <w:szCs w:val="24"/>
        </w:rPr>
        <w:t xml:space="preserve"> de 1921, Frobenius escribió. “Las manifestaciones culturales deben ser vistas como expresiones de una unidad orgánica, que no es algo hecho por el hombre, sino algo que se impone a éste. Llamamos a esto “cultura”, pero el término es tan vago y vulgar, por un lado, y demasiado específico por el otro. Por esta razón, y para expresar algo más amplio y profundo, adopté el término “paideuma”. Debe ser descrito como una entidad sustantiva con sus propias leyes de desarrollo,</w:t>
      </w:r>
      <w:r w:rsidR="00D229A3">
        <w:rPr>
          <w:rFonts w:ascii="Arial" w:hAnsi="Arial" w:cs="Arial"/>
          <w:sz w:val="24"/>
          <w:szCs w:val="24"/>
        </w:rPr>
        <w:t xml:space="preserve"> desdoblada en tres etapas fundamentales. Primero “intuitivamente” en el mundo demoníaco de la niñez, luego “idealmente” en el mundo cultural e intelectual de la juventud, y finalmente “mecánicamente” en el mundo activo de los hombres adultos. Luego </w:t>
      </w:r>
      <w:r w:rsidR="00D229A3">
        <w:rPr>
          <w:rFonts w:ascii="Arial" w:hAnsi="Arial" w:cs="Arial"/>
          <w:sz w:val="24"/>
          <w:szCs w:val="24"/>
        </w:rPr>
        <w:lastRenderedPageBreak/>
        <w:t>de estas tres etapas orgánicas, viene la condición inorgánica de la senilidad.” (Frobenius, 1921, citado en Garbulsky, 1990:13).</w:t>
      </w:r>
      <w:r w:rsidR="00D01D9D">
        <w:rPr>
          <w:rFonts w:ascii="Arial" w:hAnsi="Arial" w:cs="Arial"/>
          <w:sz w:val="24"/>
          <w:szCs w:val="24"/>
        </w:rPr>
        <w:t xml:space="preserve"> </w:t>
      </w:r>
      <w:r w:rsidR="006C6390">
        <w:rPr>
          <w:rFonts w:ascii="Arial" w:hAnsi="Arial" w:cs="Arial"/>
          <w:sz w:val="24"/>
          <w:szCs w:val="24"/>
        </w:rPr>
        <w:t>De este modo, el paideuma es la esencia de la cultura en gener</w:t>
      </w:r>
      <w:r w:rsidR="006220AC">
        <w:rPr>
          <w:rFonts w:ascii="Arial" w:hAnsi="Arial" w:cs="Arial"/>
          <w:sz w:val="24"/>
          <w:szCs w:val="24"/>
        </w:rPr>
        <w:t>al. (Garbulsky, 1990).</w:t>
      </w:r>
    </w:p>
    <w:p w14:paraId="7E9A1AB2" w14:textId="05412F8A" w:rsidR="00B21BA9" w:rsidRPr="0007347C" w:rsidRDefault="00566DCE" w:rsidP="0007347C">
      <w:pPr>
        <w:spacing w:after="0" w:line="360" w:lineRule="auto"/>
        <w:jc w:val="both"/>
        <w:rPr>
          <w:rFonts w:ascii="Arial" w:hAnsi="Arial" w:cs="Arial"/>
          <w:b/>
          <w:bCs/>
          <w:sz w:val="24"/>
          <w:szCs w:val="24"/>
        </w:rPr>
      </w:pPr>
      <w:r>
        <w:rPr>
          <w:rFonts w:ascii="Arial" w:hAnsi="Arial" w:cs="Arial"/>
          <w:sz w:val="24"/>
          <w:szCs w:val="24"/>
        </w:rPr>
        <w:tab/>
      </w:r>
      <w:r w:rsidR="00A072F3">
        <w:rPr>
          <w:rFonts w:ascii="Arial" w:hAnsi="Arial" w:cs="Arial"/>
          <w:sz w:val="24"/>
          <w:szCs w:val="24"/>
        </w:rPr>
        <w:t xml:space="preserve">La concepción de los círculos culturales creada por </w:t>
      </w:r>
      <w:r w:rsidR="001B48F5">
        <w:rPr>
          <w:rFonts w:ascii="Arial" w:hAnsi="Arial" w:cs="Arial"/>
          <w:sz w:val="24"/>
          <w:szCs w:val="24"/>
        </w:rPr>
        <w:t>Frobenius</w:t>
      </w:r>
      <w:r w:rsidR="00A072F3">
        <w:rPr>
          <w:rFonts w:ascii="Arial" w:hAnsi="Arial" w:cs="Arial"/>
          <w:sz w:val="24"/>
          <w:szCs w:val="24"/>
        </w:rPr>
        <w:t>r pasó a Fritz Graebner</w:t>
      </w:r>
      <w:r w:rsidR="006F72F3">
        <w:rPr>
          <w:rFonts w:ascii="Arial" w:hAnsi="Arial" w:cs="Arial"/>
          <w:sz w:val="24"/>
          <w:szCs w:val="24"/>
        </w:rPr>
        <w:t>, de la escuela alemana y</w:t>
      </w:r>
      <w:r w:rsidR="00A072F3">
        <w:rPr>
          <w:rFonts w:ascii="Arial" w:hAnsi="Arial" w:cs="Arial"/>
          <w:sz w:val="24"/>
          <w:szCs w:val="24"/>
        </w:rPr>
        <w:t xml:space="preserve"> </w:t>
      </w:r>
      <w:r w:rsidR="006F72F3">
        <w:rPr>
          <w:rFonts w:ascii="Arial" w:hAnsi="Arial" w:cs="Arial"/>
          <w:sz w:val="24"/>
          <w:szCs w:val="24"/>
        </w:rPr>
        <w:t>a</w:t>
      </w:r>
      <w:r w:rsidR="00A072F3">
        <w:rPr>
          <w:rFonts w:ascii="Arial" w:hAnsi="Arial" w:cs="Arial"/>
          <w:sz w:val="24"/>
          <w:szCs w:val="24"/>
        </w:rPr>
        <w:t xml:space="preserve">l </w:t>
      </w:r>
      <w:r w:rsidR="001B48F5">
        <w:rPr>
          <w:rFonts w:ascii="Arial" w:hAnsi="Arial" w:cs="Arial"/>
          <w:sz w:val="24"/>
          <w:szCs w:val="24"/>
        </w:rPr>
        <w:t>P</w:t>
      </w:r>
      <w:r w:rsidR="00A072F3">
        <w:rPr>
          <w:rFonts w:ascii="Arial" w:hAnsi="Arial" w:cs="Arial"/>
          <w:sz w:val="24"/>
          <w:szCs w:val="24"/>
        </w:rPr>
        <w:t>adre Schmidt,</w:t>
      </w:r>
      <w:r w:rsidR="001F2866">
        <w:rPr>
          <w:rFonts w:ascii="Arial" w:hAnsi="Arial" w:cs="Arial"/>
          <w:sz w:val="24"/>
          <w:szCs w:val="24"/>
        </w:rPr>
        <w:t xml:space="preserve"> </w:t>
      </w:r>
      <w:r w:rsidR="006F72F3">
        <w:rPr>
          <w:rFonts w:ascii="Arial" w:hAnsi="Arial" w:cs="Arial"/>
          <w:sz w:val="24"/>
          <w:szCs w:val="24"/>
        </w:rPr>
        <w:t>de la escuela austríaca,</w:t>
      </w:r>
      <w:r w:rsidR="00A072F3">
        <w:rPr>
          <w:rFonts w:ascii="Arial" w:hAnsi="Arial" w:cs="Arial"/>
          <w:sz w:val="24"/>
          <w:szCs w:val="24"/>
        </w:rPr>
        <w:t xml:space="preserve"> </w:t>
      </w:r>
      <w:r w:rsidR="0007347C">
        <w:rPr>
          <w:rFonts w:ascii="Arial" w:hAnsi="Arial" w:cs="Arial"/>
          <w:sz w:val="24"/>
          <w:szCs w:val="24"/>
        </w:rPr>
        <w:t>que va</w:t>
      </w:r>
      <w:r w:rsidR="00A072F3">
        <w:rPr>
          <w:rFonts w:ascii="Arial" w:hAnsi="Arial" w:cs="Arial"/>
          <w:sz w:val="24"/>
          <w:szCs w:val="24"/>
        </w:rPr>
        <w:t>n</w:t>
      </w:r>
      <w:r w:rsidR="0007347C">
        <w:rPr>
          <w:rFonts w:ascii="Arial" w:hAnsi="Arial" w:cs="Arial"/>
          <w:sz w:val="24"/>
          <w:szCs w:val="24"/>
        </w:rPr>
        <w:t xml:space="preserve"> a dar origen a la </w:t>
      </w:r>
      <w:r w:rsidR="0007347C" w:rsidRPr="0007347C">
        <w:rPr>
          <w:rFonts w:ascii="Arial" w:hAnsi="Arial" w:cs="Arial"/>
          <w:b/>
          <w:bCs/>
          <w:sz w:val="24"/>
          <w:szCs w:val="24"/>
        </w:rPr>
        <w:t>escuela histórico-cultural.</w:t>
      </w:r>
    </w:p>
    <w:p w14:paraId="2855FA8B" w14:textId="222A38EC" w:rsidR="00B248EB" w:rsidRDefault="0007347C" w:rsidP="00566DCE">
      <w:pPr>
        <w:spacing w:after="120" w:line="360" w:lineRule="auto"/>
        <w:jc w:val="both"/>
        <w:rPr>
          <w:rFonts w:ascii="Arial" w:hAnsi="Arial" w:cs="Arial"/>
          <w:sz w:val="24"/>
          <w:szCs w:val="24"/>
        </w:rPr>
      </w:pPr>
      <w:r>
        <w:rPr>
          <w:rFonts w:ascii="Arial" w:hAnsi="Arial" w:cs="Arial"/>
          <w:sz w:val="24"/>
          <w:szCs w:val="24"/>
        </w:rPr>
        <w:tab/>
      </w:r>
      <w:r w:rsidRPr="0007347C">
        <w:rPr>
          <w:rFonts w:ascii="Arial" w:hAnsi="Arial" w:cs="Arial"/>
          <w:b/>
          <w:bCs/>
          <w:sz w:val="24"/>
          <w:szCs w:val="24"/>
        </w:rPr>
        <w:t>Fritz Graebner</w:t>
      </w:r>
      <w:r>
        <w:rPr>
          <w:rFonts w:ascii="Arial" w:hAnsi="Arial" w:cs="Arial"/>
          <w:sz w:val="24"/>
          <w:szCs w:val="24"/>
        </w:rPr>
        <w:t xml:space="preserve"> (1877-1934)</w:t>
      </w:r>
      <w:r w:rsidR="00566DCE">
        <w:rPr>
          <w:rFonts w:ascii="Arial" w:hAnsi="Arial" w:cs="Arial"/>
          <w:sz w:val="24"/>
          <w:szCs w:val="24"/>
        </w:rPr>
        <w:t xml:space="preserve"> </w:t>
      </w:r>
      <w:r w:rsidR="00191A61">
        <w:rPr>
          <w:rFonts w:ascii="Arial" w:hAnsi="Arial" w:cs="Arial"/>
          <w:sz w:val="24"/>
          <w:szCs w:val="24"/>
        </w:rPr>
        <w:t>estudió</w:t>
      </w:r>
      <w:r w:rsidR="00F6773D" w:rsidRPr="00F6773D">
        <w:rPr>
          <w:rFonts w:ascii="Arial" w:hAnsi="Arial" w:cs="Arial"/>
          <w:sz w:val="24"/>
          <w:szCs w:val="24"/>
        </w:rPr>
        <w:t xml:space="preserve"> la difusión de los distintos </w:t>
      </w:r>
      <w:r w:rsidR="00F6773D">
        <w:rPr>
          <w:rFonts w:ascii="Arial" w:hAnsi="Arial" w:cs="Arial"/>
          <w:sz w:val="24"/>
          <w:szCs w:val="24"/>
        </w:rPr>
        <w:t>elementos</w:t>
      </w:r>
      <w:r w:rsidR="00F6773D" w:rsidRPr="00F6773D">
        <w:rPr>
          <w:rFonts w:ascii="Arial" w:hAnsi="Arial" w:cs="Arial"/>
          <w:sz w:val="24"/>
          <w:szCs w:val="24"/>
        </w:rPr>
        <w:t xml:space="preserve"> culturales en toda la zona de</w:t>
      </w:r>
      <w:r w:rsidR="00F6773D">
        <w:rPr>
          <w:rFonts w:ascii="Arial" w:hAnsi="Arial" w:cs="Arial"/>
          <w:sz w:val="24"/>
          <w:szCs w:val="24"/>
        </w:rPr>
        <w:t xml:space="preserve"> Oceanía y</w:t>
      </w:r>
      <w:r w:rsidR="00F6773D" w:rsidRPr="00F6773D">
        <w:rPr>
          <w:rFonts w:ascii="Arial" w:hAnsi="Arial" w:cs="Arial"/>
          <w:sz w:val="24"/>
          <w:szCs w:val="24"/>
        </w:rPr>
        <w:t xml:space="preserve"> los mares del sur</w:t>
      </w:r>
      <w:r w:rsidR="00F6773D">
        <w:rPr>
          <w:rFonts w:ascii="Arial" w:hAnsi="Arial" w:cs="Arial"/>
          <w:sz w:val="24"/>
          <w:szCs w:val="24"/>
        </w:rPr>
        <w:t>.</w:t>
      </w:r>
      <w:r w:rsidR="00F6773D" w:rsidRPr="00F6773D">
        <w:rPr>
          <w:rFonts w:ascii="Arial" w:hAnsi="Arial" w:cs="Arial"/>
          <w:sz w:val="24"/>
          <w:szCs w:val="24"/>
        </w:rPr>
        <w:t xml:space="preserve"> destacó los lazos que parecían existir entre ellos y agrupó en Kulturkreise una serie de complejos de rasgos. </w:t>
      </w:r>
      <w:r w:rsidR="00F6773D">
        <w:rPr>
          <w:rFonts w:ascii="Arial" w:hAnsi="Arial" w:cs="Arial"/>
          <w:sz w:val="24"/>
          <w:szCs w:val="24"/>
        </w:rPr>
        <w:t>Luego organizó la difusión de los círculos culturales en un orden cronológico. (</w:t>
      </w:r>
      <w:r w:rsidR="00401E0D">
        <w:rPr>
          <w:rFonts w:ascii="Arial" w:hAnsi="Arial" w:cs="Arial"/>
          <w:sz w:val="24"/>
          <w:szCs w:val="24"/>
        </w:rPr>
        <w:t>R</w:t>
      </w:r>
      <w:r w:rsidR="00F6773D">
        <w:rPr>
          <w:rFonts w:ascii="Arial" w:hAnsi="Arial" w:cs="Arial"/>
          <w:sz w:val="24"/>
          <w:szCs w:val="24"/>
        </w:rPr>
        <w:t>odríguez, 2020).</w:t>
      </w:r>
      <w:r w:rsidR="00627DF9">
        <w:rPr>
          <w:rStyle w:val="Refdenotaalpie"/>
          <w:rFonts w:ascii="Arial" w:hAnsi="Arial" w:cs="Arial"/>
          <w:sz w:val="24"/>
          <w:szCs w:val="24"/>
        </w:rPr>
        <w:footnoteReference w:id="2"/>
      </w:r>
      <w:r w:rsidR="00F6773D">
        <w:rPr>
          <w:rFonts w:ascii="Arial" w:hAnsi="Arial" w:cs="Arial"/>
          <w:sz w:val="24"/>
          <w:szCs w:val="24"/>
        </w:rPr>
        <w:t xml:space="preserve"> </w:t>
      </w:r>
      <w:r w:rsidR="00566DCE">
        <w:rPr>
          <w:rFonts w:ascii="Arial" w:hAnsi="Arial" w:cs="Arial"/>
          <w:sz w:val="24"/>
          <w:szCs w:val="24"/>
        </w:rPr>
        <w:t>“</w:t>
      </w:r>
      <w:r w:rsidR="00566DCE" w:rsidRPr="00566DCE">
        <w:rPr>
          <w:rFonts w:ascii="Arial" w:hAnsi="Arial" w:cs="Arial"/>
          <w:sz w:val="24"/>
          <w:szCs w:val="24"/>
        </w:rPr>
        <w:t>El quehacer primordial del etnólogo debe consistir en trazar histórica y geográficamente las combinaciones de complejos o áreas o círculos culturales primigenios que han servido de matriz para todo desarrollo cultural ulterior.</w:t>
      </w:r>
      <w:r w:rsidR="00566DCE">
        <w:rPr>
          <w:rFonts w:ascii="Arial" w:hAnsi="Arial" w:cs="Arial"/>
          <w:sz w:val="24"/>
          <w:szCs w:val="24"/>
        </w:rPr>
        <w:t>” (Lisón Tolosana, 1971: 74)</w:t>
      </w:r>
      <w:r w:rsidR="002F0634">
        <w:rPr>
          <w:rFonts w:ascii="Arial" w:hAnsi="Arial" w:cs="Arial"/>
          <w:sz w:val="24"/>
          <w:szCs w:val="24"/>
        </w:rPr>
        <w:t xml:space="preserve"> Graebner, en su obra de 1911 sistematiza el método histórico-cultural</w:t>
      </w:r>
      <w:r w:rsidR="00F6773D">
        <w:rPr>
          <w:rFonts w:ascii="Arial" w:hAnsi="Arial" w:cs="Arial"/>
          <w:sz w:val="24"/>
          <w:szCs w:val="24"/>
        </w:rPr>
        <w:t xml:space="preserve">. </w:t>
      </w:r>
      <w:r w:rsidR="00051E8D">
        <w:rPr>
          <w:rFonts w:ascii="Arial" w:hAnsi="Arial" w:cs="Arial"/>
          <w:sz w:val="24"/>
          <w:szCs w:val="24"/>
        </w:rPr>
        <w:t xml:space="preserve">Era preciso definir una metodología que permitiera buscar evidencias de la difusión de los rasgos culturales. </w:t>
      </w:r>
      <w:r w:rsidR="00F6773D">
        <w:rPr>
          <w:rFonts w:ascii="Arial" w:hAnsi="Arial" w:cs="Arial"/>
          <w:sz w:val="24"/>
          <w:szCs w:val="24"/>
        </w:rPr>
        <w:t xml:space="preserve">Este método </w:t>
      </w:r>
      <w:r w:rsidR="00051E8D">
        <w:rPr>
          <w:rFonts w:ascii="Arial" w:hAnsi="Arial" w:cs="Arial"/>
          <w:sz w:val="24"/>
          <w:szCs w:val="24"/>
        </w:rPr>
        <w:t>apuntaba a</w:t>
      </w:r>
      <w:r w:rsidR="00F6773D">
        <w:rPr>
          <w:rFonts w:ascii="Arial" w:hAnsi="Arial" w:cs="Arial"/>
          <w:sz w:val="24"/>
          <w:szCs w:val="24"/>
        </w:rPr>
        <w:t xml:space="preserve"> </w:t>
      </w:r>
      <w:r w:rsidR="00191A61">
        <w:rPr>
          <w:rFonts w:ascii="Arial" w:hAnsi="Arial" w:cs="Arial"/>
          <w:sz w:val="24"/>
          <w:szCs w:val="24"/>
        </w:rPr>
        <w:t>la representación cartográfica</w:t>
      </w:r>
      <w:r w:rsidR="00F43BA6">
        <w:rPr>
          <w:rFonts w:ascii="Arial" w:hAnsi="Arial" w:cs="Arial"/>
          <w:sz w:val="24"/>
          <w:szCs w:val="24"/>
        </w:rPr>
        <w:t xml:space="preserve"> de</w:t>
      </w:r>
      <w:r w:rsidR="00F6773D">
        <w:rPr>
          <w:rFonts w:ascii="Arial" w:hAnsi="Arial" w:cs="Arial"/>
          <w:sz w:val="24"/>
          <w:szCs w:val="24"/>
        </w:rPr>
        <w:t xml:space="preserve"> los elementos culturales homólogos y análogos</w:t>
      </w:r>
      <w:r w:rsidR="00051E8D">
        <w:rPr>
          <w:rFonts w:ascii="Arial" w:hAnsi="Arial" w:cs="Arial"/>
          <w:sz w:val="24"/>
          <w:szCs w:val="24"/>
        </w:rPr>
        <w:t>. Para ello, se reunía gran cantidad de material etnológico, que debía someterse a</w:t>
      </w:r>
      <w:r w:rsidR="00F6773D">
        <w:rPr>
          <w:rFonts w:ascii="Arial" w:hAnsi="Arial" w:cs="Arial"/>
          <w:sz w:val="24"/>
          <w:szCs w:val="24"/>
        </w:rPr>
        <w:t xml:space="preserve"> una serie de criterios</w:t>
      </w:r>
      <w:r w:rsidR="00314404">
        <w:rPr>
          <w:rFonts w:ascii="Arial" w:hAnsi="Arial" w:cs="Arial"/>
          <w:sz w:val="24"/>
          <w:szCs w:val="24"/>
        </w:rPr>
        <w:t xml:space="preserve"> comparativos</w:t>
      </w:r>
      <w:r w:rsidR="00051E8D">
        <w:rPr>
          <w:rFonts w:ascii="Arial" w:hAnsi="Arial" w:cs="Arial"/>
          <w:sz w:val="24"/>
          <w:szCs w:val="24"/>
        </w:rPr>
        <w:t>. Esta metodología intentaba</w:t>
      </w:r>
      <w:r w:rsidR="00F6773D">
        <w:rPr>
          <w:rFonts w:ascii="Arial" w:hAnsi="Arial" w:cs="Arial"/>
          <w:sz w:val="24"/>
          <w:szCs w:val="24"/>
        </w:rPr>
        <w:t xml:space="preserve"> determinar los parentescos culturales</w:t>
      </w:r>
      <w:r w:rsidR="00051E8D">
        <w:rPr>
          <w:rFonts w:ascii="Arial" w:hAnsi="Arial" w:cs="Arial"/>
          <w:sz w:val="24"/>
          <w:szCs w:val="24"/>
        </w:rPr>
        <w:t xml:space="preserve">. </w:t>
      </w:r>
      <w:r w:rsidR="009537BF">
        <w:rPr>
          <w:rFonts w:ascii="Arial" w:hAnsi="Arial" w:cs="Arial"/>
          <w:sz w:val="24"/>
          <w:szCs w:val="24"/>
        </w:rPr>
        <w:t xml:space="preserve"> </w:t>
      </w:r>
      <w:r w:rsidR="00B248EB">
        <w:rPr>
          <w:rFonts w:ascii="Arial" w:hAnsi="Arial" w:cs="Arial"/>
          <w:sz w:val="24"/>
          <w:szCs w:val="24"/>
        </w:rPr>
        <w:t xml:space="preserve">El </w:t>
      </w:r>
      <w:r w:rsidR="00B248EB" w:rsidRPr="00A65E9D">
        <w:rPr>
          <w:rFonts w:ascii="Arial" w:hAnsi="Arial" w:cs="Arial"/>
          <w:b/>
          <w:bCs/>
          <w:sz w:val="24"/>
          <w:szCs w:val="24"/>
        </w:rPr>
        <w:t>Padre</w:t>
      </w:r>
      <w:r w:rsidR="00711AA4" w:rsidRPr="00A65E9D">
        <w:rPr>
          <w:rFonts w:ascii="Arial" w:hAnsi="Arial" w:cs="Arial"/>
          <w:b/>
          <w:bCs/>
          <w:sz w:val="24"/>
          <w:szCs w:val="24"/>
        </w:rPr>
        <w:t xml:space="preserve"> Wilhelm</w:t>
      </w:r>
      <w:r w:rsidR="00B248EB" w:rsidRPr="00A65E9D">
        <w:rPr>
          <w:rFonts w:ascii="Arial" w:hAnsi="Arial" w:cs="Arial"/>
          <w:b/>
          <w:bCs/>
          <w:sz w:val="24"/>
          <w:szCs w:val="24"/>
        </w:rPr>
        <w:t xml:space="preserve"> Schmidt</w:t>
      </w:r>
      <w:r w:rsidR="00711AA4">
        <w:rPr>
          <w:rFonts w:ascii="Arial" w:hAnsi="Arial" w:cs="Arial"/>
          <w:sz w:val="24"/>
          <w:szCs w:val="24"/>
        </w:rPr>
        <w:t xml:space="preserve"> (1868-1954)</w:t>
      </w:r>
      <w:r w:rsidR="009537BF">
        <w:rPr>
          <w:rFonts w:ascii="Arial" w:hAnsi="Arial" w:cs="Arial"/>
          <w:sz w:val="24"/>
          <w:szCs w:val="24"/>
        </w:rPr>
        <w:t xml:space="preserve"> también contribuyó a la definición de tales criterios. El primero, que Graebner llamó de forma y Schmidt de cualidad</w:t>
      </w:r>
      <w:r w:rsidR="00D01D9D">
        <w:rPr>
          <w:rFonts w:ascii="Arial" w:hAnsi="Arial" w:cs="Arial"/>
          <w:sz w:val="24"/>
          <w:szCs w:val="24"/>
        </w:rPr>
        <w:t>,</w:t>
      </w:r>
      <w:r w:rsidR="009537BF">
        <w:rPr>
          <w:rFonts w:ascii="Arial" w:hAnsi="Arial" w:cs="Arial"/>
          <w:sz w:val="24"/>
          <w:szCs w:val="24"/>
        </w:rPr>
        <w:t xml:space="preserve"> </w:t>
      </w:r>
      <w:r w:rsidR="009537BF" w:rsidRPr="009537BF">
        <w:rPr>
          <w:rFonts w:ascii="Arial" w:hAnsi="Arial" w:cs="Arial"/>
          <w:sz w:val="24"/>
          <w:szCs w:val="24"/>
        </w:rPr>
        <w:t xml:space="preserve">sostiene que </w:t>
      </w:r>
      <w:r w:rsidR="009537BF">
        <w:rPr>
          <w:rFonts w:ascii="Arial" w:hAnsi="Arial" w:cs="Arial"/>
          <w:sz w:val="24"/>
          <w:szCs w:val="24"/>
        </w:rPr>
        <w:t>“</w:t>
      </w:r>
      <w:r w:rsidR="009537BF" w:rsidRPr="009537BF">
        <w:rPr>
          <w:rFonts w:ascii="Arial" w:hAnsi="Arial" w:cs="Arial"/>
          <w:sz w:val="24"/>
          <w:szCs w:val="24"/>
        </w:rPr>
        <w:t>aquellas semejanzas observables entre dos elementos culturales que no sean producto de la naturaleza de esos objetos, ni del material de que están hechos, ni de la función que cumplen, deben tenerse por resultado de la difusión, sin que sea obstáculo la distancia que pueda separar a los dos casos.</w:t>
      </w:r>
      <w:r w:rsidR="009537BF">
        <w:rPr>
          <w:rFonts w:ascii="Arial" w:hAnsi="Arial" w:cs="Arial"/>
          <w:sz w:val="24"/>
          <w:szCs w:val="24"/>
        </w:rPr>
        <w:t>”</w:t>
      </w:r>
      <w:r w:rsidR="009537BF" w:rsidRPr="009537BF">
        <w:rPr>
          <w:rFonts w:ascii="Arial" w:hAnsi="Arial" w:cs="Arial"/>
          <w:sz w:val="24"/>
          <w:szCs w:val="24"/>
        </w:rPr>
        <w:t xml:space="preserve"> A su segundo criterio le llaman los dos «criterio de cantidad», y afirma</w:t>
      </w:r>
      <w:r w:rsidR="00C72ACB">
        <w:rPr>
          <w:rFonts w:ascii="Arial" w:hAnsi="Arial" w:cs="Arial"/>
          <w:sz w:val="24"/>
          <w:szCs w:val="24"/>
        </w:rPr>
        <w:t>n</w:t>
      </w:r>
      <w:r w:rsidR="009537BF" w:rsidRPr="009537BF">
        <w:rPr>
          <w:rFonts w:ascii="Arial" w:hAnsi="Arial" w:cs="Arial"/>
          <w:sz w:val="24"/>
          <w:szCs w:val="24"/>
        </w:rPr>
        <w:t xml:space="preserve"> que </w:t>
      </w:r>
      <w:r w:rsidR="009537BF">
        <w:rPr>
          <w:rFonts w:ascii="Arial" w:hAnsi="Arial" w:cs="Arial"/>
          <w:sz w:val="24"/>
          <w:szCs w:val="24"/>
        </w:rPr>
        <w:t>“</w:t>
      </w:r>
      <w:r w:rsidR="009537BF" w:rsidRPr="009537BF">
        <w:rPr>
          <w:rFonts w:ascii="Arial" w:hAnsi="Arial" w:cs="Arial"/>
          <w:sz w:val="24"/>
          <w:szCs w:val="24"/>
        </w:rPr>
        <w:t>la probabilidad de una relación histórica entre dos elementos semejantes aumenta con el número de elementos adicionales entre los que pueden advertirse semejanzas; es decir, «varias semejanzas prueban más que una sola»</w:t>
      </w:r>
      <w:r w:rsidR="009537BF">
        <w:rPr>
          <w:rFonts w:ascii="Arial" w:hAnsi="Arial" w:cs="Arial"/>
          <w:sz w:val="24"/>
          <w:szCs w:val="24"/>
        </w:rPr>
        <w:t>” (Harris, 1968. 332).</w:t>
      </w:r>
    </w:p>
    <w:p w14:paraId="03B664F9" w14:textId="44D04B5C" w:rsidR="009B3365" w:rsidRPr="00627DF9" w:rsidRDefault="009B3365" w:rsidP="00566DCE">
      <w:pPr>
        <w:spacing w:after="120" w:line="360" w:lineRule="auto"/>
        <w:jc w:val="both"/>
        <w:rPr>
          <w:rFonts w:ascii="Arial" w:hAnsi="Arial" w:cs="Arial"/>
          <w:sz w:val="24"/>
          <w:szCs w:val="24"/>
        </w:rPr>
      </w:pPr>
      <w:r>
        <w:rPr>
          <w:rFonts w:ascii="Arial" w:hAnsi="Arial" w:cs="Arial"/>
          <w:sz w:val="24"/>
          <w:szCs w:val="24"/>
        </w:rPr>
        <w:lastRenderedPageBreak/>
        <w:tab/>
        <w:t xml:space="preserve">En su libro </w:t>
      </w:r>
      <w:r w:rsidRPr="00627DF9">
        <w:rPr>
          <w:rFonts w:ascii="Arial" w:hAnsi="Arial" w:cs="Arial"/>
          <w:i/>
          <w:iCs/>
          <w:sz w:val="24"/>
          <w:szCs w:val="24"/>
        </w:rPr>
        <w:t>Metodología etnológica</w:t>
      </w:r>
      <w:r>
        <w:rPr>
          <w:rFonts w:ascii="Arial" w:hAnsi="Arial" w:cs="Arial"/>
          <w:sz w:val="24"/>
          <w:szCs w:val="24"/>
        </w:rPr>
        <w:t xml:space="preserve"> (1911) Greabner plantea los siguientes </w:t>
      </w:r>
      <w:r w:rsidR="00627DF9">
        <w:rPr>
          <w:rFonts w:ascii="Arial" w:hAnsi="Arial" w:cs="Arial"/>
          <w:sz w:val="24"/>
          <w:szCs w:val="24"/>
        </w:rPr>
        <w:t>p</w:t>
      </w:r>
      <w:r w:rsidRPr="00627DF9">
        <w:rPr>
          <w:rFonts w:ascii="Arial" w:hAnsi="Arial" w:cs="Arial"/>
          <w:sz w:val="24"/>
          <w:szCs w:val="24"/>
        </w:rPr>
        <w:t>ostulados: * Un hecho cultural no se presenta aislado, sino que integra un conjunto asociado de bienes. * Reconocidos los ciclos culturales iniciales se puede explicar el desarrollo cultural universal en función de migraciones y préstamos. * La cultura se difunde y es reconocible a través del tiempo y el espacio, ya que sus bienes constitutivos se han mantenido interdependientes en función del "principio de cohesión interna".</w:t>
      </w:r>
      <w:r w:rsidR="001A044B">
        <w:rPr>
          <w:rFonts w:ascii="Arial" w:hAnsi="Arial" w:cs="Arial"/>
          <w:sz w:val="24"/>
          <w:szCs w:val="24"/>
        </w:rPr>
        <w:t xml:space="preserve"> (Rodríguez, 2020).</w:t>
      </w:r>
    </w:p>
    <w:p w14:paraId="7C8E414A" w14:textId="58E2BBF4" w:rsidR="00A65E9D" w:rsidRPr="009537BF" w:rsidRDefault="007B77AB" w:rsidP="007B77AB">
      <w:pPr>
        <w:spacing w:after="120" w:line="240" w:lineRule="auto"/>
        <w:jc w:val="both"/>
        <w:rPr>
          <w:rFonts w:ascii="Arial" w:hAnsi="Arial" w:cs="Arial"/>
          <w:sz w:val="24"/>
          <w:szCs w:val="24"/>
        </w:rPr>
      </w:pPr>
      <w:r>
        <w:rPr>
          <w:rFonts w:ascii="Arial" w:hAnsi="Arial" w:cs="Arial"/>
          <w:sz w:val="24"/>
          <w:szCs w:val="24"/>
        </w:rPr>
        <w:tab/>
      </w:r>
      <w:r w:rsidR="00A65E9D">
        <w:rPr>
          <w:rFonts w:ascii="Arial" w:hAnsi="Arial" w:cs="Arial"/>
          <w:noProof/>
          <w:sz w:val="24"/>
          <w:szCs w:val="24"/>
        </w:rPr>
        <w:drawing>
          <wp:inline distT="0" distB="0" distL="0" distR="0" wp14:anchorId="77AC6887" wp14:editId="3F6AAA9D">
            <wp:extent cx="1323975" cy="1247775"/>
            <wp:effectExtent l="19050" t="19050" r="28575" b="285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0">
                      <a:duotone>
                        <a:prstClr val="black"/>
                        <a:srgbClr val="D9C3A5">
                          <a:tint val="50000"/>
                          <a:satMod val="180000"/>
                        </a:srgbClr>
                      </a:duotone>
                      <a:extLst>
                        <a:ext uri="{28A0092B-C50C-407E-A947-70E740481C1C}">
                          <a14:useLocalDpi xmlns:a14="http://schemas.microsoft.com/office/drawing/2010/main" val="0"/>
                        </a:ext>
                      </a:extLst>
                    </a:blip>
                    <a:stretch>
                      <a:fillRect/>
                    </a:stretch>
                  </pic:blipFill>
                  <pic:spPr>
                    <a:xfrm>
                      <a:off x="0" y="0"/>
                      <a:ext cx="1323975" cy="1247775"/>
                    </a:xfrm>
                    <a:prstGeom prst="rect">
                      <a:avLst/>
                    </a:prstGeom>
                    <a:ln w="12700">
                      <a:solidFill>
                        <a:schemeClr val="accent2"/>
                      </a:solidFill>
                    </a:ln>
                  </pic:spPr>
                </pic:pic>
              </a:graphicData>
            </a:graphic>
          </wp:inline>
        </w:drawing>
      </w:r>
      <w:r w:rsidR="00C77E29">
        <w:rPr>
          <w:rFonts w:ascii="Arial" w:hAnsi="Arial" w:cs="Arial"/>
          <w:sz w:val="24"/>
          <w:szCs w:val="24"/>
        </w:rPr>
        <w:tab/>
      </w:r>
      <w:r>
        <w:rPr>
          <w:rFonts w:ascii="Arial" w:hAnsi="Arial" w:cs="Arial"/>
          <w:sz w:val="24"/>
          <w:szCs w:val="24"/>
        </w:rPr>
        <w:tab/>
      </w:r>
      <w:r>
        <w:rPr>
          <w:rFonts w:ascii="Arial" w:hAnsi="Arial" w:cs="Arial"/>
          <w:sz w:val="24"/>
          <w:szCs w:val="24"/>
        </w:rPr>
        <w:tab/>
      </w:r>
      <w:r w:rsidR="00C77E29">
        <w:rPr>
          <w:rFonts w:ascii="Arial" w:hAnsi="Arial" w:cs="Arial"/>
          <w:sz w:val="24"/>
          <w:szCs w:val="24"/>
        </w:rPr>
        <w:tab/>
      </w:r>
      <w:r w:rsidR="00C77E29">
        <w:rPr>
          <w:rFonts w:ascii="Arial" w:hAnsi="Arial" w:cs="Arial"/>
          <w:noProof/>
          <w:sz w:val="24"/>
          <w:szCs w:val="24"/>
        </w:rPr>
        <w:drawing>
          <wp:inline distT="0" distB="0" distL="0" distR="0" wp14:anchorId="4BF1AA27" wp14:editId="2F4861BD">
            <wp:extent cx="1128713" cy="1288578"/>
            <wp:effectExtent l="19050" t="19050" r="14605" b="260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1" cstate="print">
                      <a:extLst>
                        <a:ext uri="{BEBA8EAE-BF5A-486C-A8C5-ECC9F3942E4B}">
                          <a14:imgProps xmlns:a14="http://schemas.microsoft.com/office/drawing/2010/main">
                            <a14:imgLayer r:embed="rId12">
                              <a14:imgEffect>
                                <a14:colorTemperature colorTemp="8800"/>
                              </a14:imgEffect>
                            </a14:imgLayer>
                          </a14:imgProps>
                        </a:ext>
                        <a:ext uri="{28A0092B-C50C-407E-A947-70E740481C1C}">
                          <a14:useLocalDpi xmlns:a14="http://schemas.microsoft.com/office/drawing/2010/main" val="0"/>
                        </a:ext>
                      </a:extLst>
                    </a:blip>
                    <a:stretch>
                      <a:fillRect/>
                    </a:stretch>
                  </pic:blipFill>
                  <pic:spPr>
                    <a:xfrm>
                      <a:off x="0" y="0"/>
                      <a:ext cx="1138064" cy="1299253"/>
                    </a:xfrm>
                    <a:prstGeom prst="rect">
                      <a:avLst/>
                    </a:prstGeom>
                    <a:ln w="12700">
                      <a:solidFill>
                        <a:schemeClr val="accent2"/>
                      </a:solidFill>
                    </a:ln>
                  </pic:spPr>
                </pic:pic>
              </a:graphicData>
            </a:graphic>
          </wp:inline>
        </w:drawing>
      </w:r>
    </w:p>
    <w:p w14:paraId="679FCAFB" w14:textId="5AEB381B" w:rsidR="00D01D9D" w:rsidRPr="00D01D9D" w:rsidRDefault="007B77AB" w:rsidP="007B77AB">
      <w:pPr>
        <w:spacing w:after="0" w:line="240" w:lineRule="auto"/>
        <w:jc w:val="both"/>
        <w:outlineLvl w:val="0"/>
        <w:rPr>
          <w:rFonts w:ascii="Arial" w:hAnsi="Arial" w:cs="Arial"/>
          <w:b/>
          <w:bCs/>
          <w:color w:val="ED7D31" w:themeColor="accent2"/>
          <w:sz w:val="20"/>
          <w:szCs w:val="20"/>
          <w:vertAlign w:val="superscript"/>
        </w:rPr>
      </w:pPr>
      <w:r w:rsidRPr="00D01D9D">
        <w:rPr>
          <w:rFonts w:ascii="Arial" w:hAnsi="Arial" w:cs="Arial"/>
          <w:b/>
          <w:bCs/>
          <w:color w:val="ED7D31" w:themeColor="accent2"/>
          <w:sz w:val="20"/>
          <w:szCs w:val="20"/>
        </w:rPr>
        <w:t xml:space="preserve">                F.  Graebner</w:t>
      </w:r>
      <w:r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t xml:space="preserve">    </w:t>
      </w:r>
      <w:r w:rsidR="00D01D9D" w:rsidRPr="00D01D9D">
        <w:rPr>
          <w:rFonts w:ascii="Arial" w:hAnsi="Arial" w:cs="Arial"/>
          <w:b/>
          <w:bCs/>
          <w:color w:val="ED7D31" w:themeColor="accent2"/>
          <w:sz w:val="20"/>
          <w:szCs w:val="20"/>
        </w:rPr>
        <w:t>W. Schmidt</w:t>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r w:rsidR="00D01D9D" w:rsidRPr="00D01D9D">
        <w:rPr>
          <w:rFonts w:ascii="Arial" w:hAnsi="Arial" w:cs="Arial"/>
          <w:b/>
          <w:bCs/>
          <w:color w:val="ED7D31" w:themeColor="accent2"/>
          <w:sz w:val="20"/>
          <w:szCs w:val="20"/>
        </w:rPr>
        <w:tab/>
      </w:r>
    </w:p>
    <w:p w14:paraId="7E085414" w14:textId="6B0FAFED" w:rsidR="00800AAA" w:rsidRDefault="00800AAA" w:rsidP="00800AAA">
      <w:pPr>
        <w:spacing w:after="0" w:line="240" w:lineRule="auto"/>
        <w:jc w:val="center"/>
        <w:outlineLvl w:val="0"/>
        <w:rPr>
          <w:rFonts w:ascii="Arial" w:hAnsi="Arial" w:cs="Arial"/>
          <w:b/>
          <w:bCs/>
          <w:color w:val="5B9BD5" w:themeColor="accent5"/>
          <w:sz w:val="20"/>
          <w:szCs w:val="20"/>
          <w:vertAlign w:val="superscript"/>
        </w:rPr>
      </w:pPr>
      <w:hyperlink r:id="rId13" w:history="1">
        <w:r w:rsidRPr="002B1070">
          <w:rPr>
            <w:rStyle w:val="Hipervnculo"/>
            <w:rFonts w:ascii="Arial" w:hAnsi="Arial" w:cs="Arial"/>
            <w:b/>
            <w:bCs/>
            <w:sz w:val="20"/>
            <w:szCs w:val="20"/>
            <w:vertAlign w:val="superscript"/>
          </w:rPr>
          <w:t>https://www.facebook.com/FritzGraebner/?locale=es_LA</w:t>
        </w:r>
      </w:hyperlink>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hyperlink r:id="rId14" w:history="1">
        <w:r w:rsidRPr="002B1070">
          <w:rPr>
            <w:rStyle w:val="Hipervnculo"/>
            <w:rFonts w:ascii="Arial" w:hAnsi="Arial" w:cs="Arial"/>
            <w:b/>
            <w:bCs/>
            <w:sz w:val="20"/>
            <w:szCs w:val="20"/>
            <w:vertAlign w:val="superscript"/>
          </w:rPr>
          <w:t>https://www.facebook.com/PaterSchmidt/</w:t>
        </w:r>
      </w:hyperlink>
    </w:p>
    <w:p w14:paraId="1EF79802" w14:textId="77777777" w:rsidR="00800AAA" w:rsidRDefault="00800AAA" w:rsidP="00800AAA">
      <w:pPr>
        <w:spacing w:after="0" w:line="240" w:lineRule="auto"/>
        <w:jc w:val="center"/>
        <w:outlineLvl w:val="0"/>
        <w:rPr>
          <w:rFonts w:ascii="Arial" w:hAnsi="Arial" w:cs="Arial"/>
          <w:b/>
          <w:bCs/>
          <w:color w:val="ED7D31" w:themeColor="accent2"/>
          <w:sz w:val="20"/>
          <w:szCs w:val="20"/>
        </w:rPr>
      </w:pPr>
    </w:p>
    <w:p w14:paraId="6B65639D" w14:textId="730D3A8E" w:rsidR="007B77AB" w:rsidRPr="00800AAA" w:rsidRDefault="00800AAA" w:rsidP="00800AAA">
      <w:pPr>
        <w:spacing w:after="0" w:line="240" w:lineRule="auto"/>
        <w:jc w:val="center"/>
        <w:outlineLvl w:val="0"/>
        <w:rPr>
          <w:rFonts w:ascii="Arial" w:hAnsi="Arial" w:cs="Arial"/>
          <w:b/>
          <w:bCs/>
          <w:color w:val="ED7D31" w:themeColor="accent2"/>
          <w:sz w:val="20"/>
          <w:szCs w:val="20"/>
        </w:rPr>
      </w:pP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r>
        <w:rPr>
          <w:rFonts w:ascii="Arial" w:hAnsi="Arial" w:cs="Arial"/>
          <w:b/>
          <w:bCs/>
          <w:color w:val="ED7D31" w:themeColor="accent2"/>
          <w:sz w:val="20"/>
          <w:szCs w:val="20"/>
        </w:rPr>
        <w:tab/>
      </w:r>
    </w:p>
    <w:p w14:paraId="6E361DA2" w14:textId="2BAB6537" w:rsidR="00B21BA9" w:rsidRPr="00711AA4" w:rsidRDefault="007B77AB" w:rsidP="00711AA4">
      <w:pPr>
        <w:spacing w:after="0" w:line="360" w:lineRule="auto"/>
        <w:jc w:val="both"/>
        <w:rPr>
          <w:rFonts w:ascii="Arial" w:hAnsi="Arial" w:cs="Arial"/>
          <w:sz w:val="24"/>
          <w:szCs w:val="24"/>
        </w:rPr>
      </w:pPr>
      <w:r>
        <w:rPr>
          <w:rFonts w:ascii="Arial" w:hAnsi="Arial" w:cs="Arial"/>
          <w:sz w:val="24"/>
          <w:szCs w:val="24"/>
        </w:rPr>
        <w:tab/>
      </w:r>
      <w:r w:rsidR="00711AA4">
        <w:rPr>
          <w:rFonts w:ascii="Arial" w:hAnsi="Arial" w:cs="Arial"/>
          <w:sz w:val="24"/>
          <w:szCs w:val="24"/>
        </w:rPr>
        <w:t>“</w:t>
      </w:r>
      <w:r w:rsidR="00711AA4" w:rsidRPr="00711AA4">
        <w:rPr>
          <w:rFonts w:ascii="Arial" w:hAnsi="Arial" w:cs="Arial"/>
          <w:sz w:val="24"/>
          <w:szCs w:val="24"/>
        </w:rPr>
        <w:t>Ambas variantes (austríaca y alemana) sostienen una perspectiva policéntrica, aceptando que una innovación puede darse en forma independiente, aunque pocas veces. En tal sentido es posible elaborar una historia de alcance universal a partir de la difusión de un limitado número de círculos culturales originales, coincidentes con las grandes civilizaciones históricas.” (Rodríguez, 2020: 2</w:t>
      </w:r>
      <w:r w:rsidR="00711AA4">
        <w:rPr>
          <w:rFonts w:ascii="Arial" w:hAnsi="Arial" w:cs="Arial"/>
          <w:sz w:val="24"/>
          <w:szCs w:val="24"/>
        </w:rPr>
        <w:t>)</w:t>
      </w:r>
      <w:r w:rsidR="00711AA4" w:rsidRPr="00711AA4">
        <w:rPr>
          <w:rFonts w:ascii="Arial" w:hAnsi="Arial" w:cs="Arial"/>
          <w:sz w:val="24"/>
          <w:szCs w:val="24"/>
        </w:rPr>
        <w:t>.</w:t>
      </w:r>
    </w:p>
    <w:p w14:paraId="1B2127D7" w14:textId="23ED4A96" w:rsidR="00B21BA9" w:rsidRDefault="00B21BA9" w:rsidP="003E08B1">
      <w:pPr>
        <w:rPr>
          <w:rFonts w:ascii="Arial" w:hAnsi="Arial" w:cs="Arial"/>
          <w:sz w:val="24"/>
          <w:szCs w:val="24"/>
        </w:rPr>
      </w:pPr>
    </w:p>
    <w:p w14:paraId="347D3C6C" w14:textId="739A3ABE" w:rsidR="00A867C0" w:rsidRPr="00A867C0" w:rsidRDefault="00A867C0" w:rsidP="00A867C0">
      <w:pPr>
        <w:pStyle w:val="Prrafodelista"/>
        <w:numPr>
          <w:ilvl w:val="0"/>
          <w:numId w:val="4"/>
        </w:numPr>
        <w:spacing w:line="360" w:lineRule="auto"/>
        <w:jc w:val="both"/>
        <w:rPr>
          <w:rFonts w:ascii="Arial" w:hAnsi="Arial" w:cs="Arial"/>
          <w:b/>
          <w:bCs/>
          <w:color w:val="ED7D31" w:themeColor="accent2"/>
          <w:sz w:val="24"/>
          <w:szCs w:val="24"/>
        </w:rPr>
      </w:pPr>
      <w:r w:rsidRPr="00A867C0">
        <w:rPr>
          <w:rFonts w:ascii="Arial" w:hAnsi="Arial" w:cs="Arial"/>
          <w:b/>
          <w:bCs/>
          <w:color w:val="ED7D31" w:themeColor="accent2"/>
          <w:sz w:val="24"/>
          <w:szCs w:val="24"/>
        </w:rPr>
        <w:t>La escuela difusionista inglesa:</w:t>
      </w:r>
      <w:r w:rsidR="002F0634">
        <w:rPr>
          <w:rFonts w:ascii="Arial" w:hAnsi="Arial" w:cs="Arial"/>
          <w:b/>
          <w:bCs/>
          <w:color w:val="ED7D31" w:themeColor="accent2"/>
          <w:sz w:val="24"/>
          <w:szCs w:val="24"/>
        </w:rPr>
        <w:t xml:space="preserve"> el difusionismo extremo</w:t>
      </w:r>
    </w:p>
    <w:p w14:paraId="6E666D39" w14:textId="2C6D2B42" w:rsidR="007F05A3" w:rsidRPr="007F05A3" w:rsidRDefault="00A867C0" w:rsidP="002979EA">
      <w:pPr>
        <w:pStyle w:val="Prrafodelista"/>
        <w:spacing w:line="360" w:lineRule="auto"/>
        <w:ind w:left="0"/>
        <w:jc w:val="both"/>
        <w:rPr>
          <w:rFonts w:ascii="Arial" w:hAnsi="Arial" w:cs="Arial"/>
          <w:sz w:val="24"/>
          <w:szCs w:val="24"/>
        </w:rPr>
      </w:pPr>
      <w:r>
        <w:rPr>
          <w:rFonts w:ascii="Arial" w:hAnsi="Arial" w:cs="Arial"/>
          <w:sz w:val="24"/>
          <w:szCs w:val="24"/>
        </w:rPr>
        <w:tab/>
        <w:t xml:space="preserve"> </w:t>
      </w:r>
      <w:r w:rsidR="00303D68" w:rsidRPr="00A867C0">
        <w:rPr>
          <w:rFonts w:ascii="Arial" w:hAnsi="Arial" w:cs="Arial"/>
          <w:sz w:val="24"/>
          <w:szCs w:val="24"/>
        </w:rPr>
        <w:t>Paralela al difusionismo vienés-alemán se desarrolló en Inglaterra una forma extrema o hiperdifusionista</w:t>
      </w:r>
      <w:r w:rsidR="002979EA">
        <w:rPr>
          <w:rFonts w:ascii="Arial" w:hAnsi="Arial" w:cs="Arial"/>
          <w:sz w:val="24"/>
          <w:szCs w:val="24"/>
        </w:rPr>
        <w:t xml:space="preserve">, representada por </w:t>
      </w:r>
      <w:r w:rsidR="003072BD" w:rsidRPr="00B248EB">
        <w:rPr>
          <w:rFonts w:ascii="Arial" w:hAnsi="Arial" w:cs="Arial"/>
          <w:b/>
          <w:bCs/>
          <w:sz w:val="24"/>
          <w:szCs w:val="24"/>
        </w:rPr>
        <w:t>Grafton Ellio</w:t>
      </w:r>
      <w:r w:rsidR="001E6766">
        <w:rPr>
          <w:rFonts w:ascii="Arial" w:hAnsi="Arial" w:cs="Arial"/>
          <w:b/>
          <w:bCs/>
          <w:sz w:val="24"/>
          <w:szCs w:val="24"/>
        </w:rPr>
        <w:t>t</w:t>
      </w:r>
      <w:r w:rsidR="00B248EB" w:rsidRPr="00B248EB">
        <w:rPr>
          <w:rFonts w:ascii="Arial" w:hAnsi="Arial" w:cs="Arial"/>
          <w:b/>
          <w:bCs/>
          <w:sz w:val="24"/>
          <w:szCs w:val="24"/>
        </w:rPr>
        <w:t xml:space="preserve"> </w:t>
      </w:r>
      <w:r w:rsidR="003072BD" w:rsidRPr="00B248EB">
        <w:rPr>
          <w:rFonts w:ascii="Arial" w:hAnsi="Arial" w:cs="Arial"/>
          <w:b/>
          <w:bCs/>
          <w:sz w:val="24"/>
          <w:szCs w:val="24"/>
        </w:rPr>
        <w:t>Smith</w:t>
      </w:r>
      <w:r w:rsidR="003072BD" w:rsidRPr="002979EA">
        <w:rPr>
          <w:rFonts w:ascii="Arial" w:hAnsi="Arial" w:cs="Arial"/>
          <w:sz w:val="24"/>
          <w:szCs w:val="24"/>
        </w:rPr>
        <w:t xml:space="preserve"> (1871-1937) y </w:t>
      </w:r>
      <w:r w:rsidR="003072BD" w:rsidRPr="00B248EB">
        <w:rPr>
          <w:rFonts w:ascii="Arial" w:hAnsi="Arial" w:cs="Arial"/>
          <w:b/>
          <w:bCs/>
          <w:sz w:val="24"/>
          <w:szCs w:val="24"/>
        </w:rPr>
        <w:t>W</w:t>
      </w:r>
      <w:r w:rsidR="00B248EB" w:rsidRPr="00B248EB">
        <w:rPr>
          <w:rFonts w:ascii="Arial" w:hAnsi="Arial" w:cs="Arial"/>
          <w:b/>
          <w:bCs/>
          <w:sz w:val="24"/>
          <w:szCs w:val="24"/>
        </w:rPr>
        <w:t>illiam James</w:t>
      </w:r>
      <w:r w:rsidR="003072BD" w:rsidRPr="00B248EB">
        <w:rPr>
          <w:rFonts w:ascii="Arial" w:hAnsi="Arial" w:cs="Arial"/>
          <w:b/>
          <w:bCs/>
          <w:sz w:val="24"/>
          <w:szCs w:val="24"/>
        </w:rPr>
        <w:t xml:space="preserve"> Perry</w:t>
      </w:r>
      <w:r w:rsidR="00B248EB">
        <w:rPr>
          <w:rFonts w:ascii="Arial" w:hAnsi="Arial" w:cs="Arial"/>
          <w:sz w:val="24"/>
          <w:szCs w:val="24"/>
        </w:rPr>
        <w:t xml:space="preserve"> (1887-1949).</w:t>
      </w:r>
      <w:r w:rsidR="003072BD">
        <w:t xml:space="preserve">  </w:t>
      </w:r>
      <w:r w:rsidR="003072BD" w:rsidRPr="00B248EB">
        <w:rPr>
          <w:rFonts w:ascii="Arial" w:hAnsi="Arial" w:cs="Arial"/>
          <w:sz w:val="24"/>
          <w:szCs w:val="24"/>
        </w:rPr>
        <w:t xml:space="preserve">Ambos </w:t>
      </w:r>
      <w:r w:rsidR="00B248EB">
        <w:rPr>
          <w:rFonts w:ascii="Arial" w:hAnsi="Arial" w:cs="Arial"/>
          <w:sz w:val="24"/>
          <w:szCs w:val="24"/>
        </w:rPr>
        <w:t>sostuvieron</w:t>
      </w:r>
      <w:r w:rsidR="003072BD" w:rsidRPr="00B248EB">
        <w:rPr>
          <w:rFonts w:ascii="Arial" w:hAnsi="Arial" w:cs="Arial"/>
          <w:sz w:val="24"/>
          <w:szCs w:val="24"/>
        </w:rPr>
        <w:t xml:space="preserve"> que en torno al 6000 antes de nuestra </w:t>
      </w:r>
      <w:r w:rsidR="00B248EB">
        <w:rPr>
          <w:rFonts w:ascii="Arial" w:hAnsi="Arial" w:cs="Arial"/>
          <w:sz w:val="24"/>
          <w:szCs w:val="24"/>
        </w:rPr>
        <w:t>e</w:t>
      </w:r>
      <w:r w:rsidR="003072BD" w:rsidRPr="00B248EB">
        <w:rPr>
          <w:rFonts w:ascii="Arial" w:hAnsi="Arial" w:cs="Arial"/>
          <w:sz w:val="24"/>
          <w:szCs w:val="24"/>
        </w:rPr>
        <w:t>ra se originaron la mayor parte de las creaciones culturales humanas en Egipto. Desde a</w:t>
      </w:r>
      <w:r w:rsidR="007B77AB">
        <w:rPr>
          <w:rFonts w:ascii="Arial" w:hAnsi="Arial" w:cs="Arial"/>
          <w:sz w:val="24"/>
          <w:szCs w:val="24"/>
        </w:rPr>
        <w:t>llí</w:t>
      </w:r>
      <w:r w:rsidR="003072BD" w:rsidRPr="00B248EB">
        <w:rPr>
          <w:rFonts w:ascii="Arial" w:hAnsi="Arial" w:cs="Arial"/>
          <w:sz w:val="24"/>
          <w:szCs w:val="24"/>
        </w:rPr>
        <w:t xml:space="preserve"> y a través de migraciones, préstamos, pérdidas, combinaciones, etc., se expandieron a todo el mund</w:t>
      </w:r>
      <w:r w:rsidR="00B248EB">
        <w:rPr>
          <w:rFonts w:ascii="Arial" w:hAnsi="Arial" w:cs="Arial"/>
          <w:sz w:val="24"/>
          <w:szCs w:val="24"/>
        </w:rPr>
        <w:t xml:space="preserve">o. </w:t>
      </w:r>
      <w:r w:rsidR="007F05A3">
        <w:rPr>
          <w:rFonts w:ascii="Arial" w:hAnsi="Arial" w:cs="Arial"/>
          <w:sz w:val="24"/>
          <w:szCs w:val="24"/>
        </w:rPr>
        <w:t>“</w:t>
      </w:r>
      <w:r w:rsidR="003E77A7" w:rsidRPr="007F05A3">
        <w:rPr>
          <w:rFonts w:ascii="Arial" w:hAnsi="Arial" w:cs="Arial"/>
          <w:sz w:val="24"/>
          <w:szCs w:val="24"/>
        </w:rPr>
        <w:t>A medida que progresaban en la civilización, los egipcios comenzaron a viajar a grandes distancias, por tierra y por mar, en busca de metales preciosos y de otras materias primas. Y de ese modo, a través de la difusión y de la colonización, se extendieron rápidamente variedades de la civilización arcaica original que había sido fundada a orillas del Nilo.</w:t>
      </w:r>
      <w:r w:rsidR="007F05A3">
        <w:rPr>
          <w:rFonts w:ascii="Arial" w:hAnsi="Arial" w:cs="Arial"/>
          <w:sz w:val="24"/>
          <w:szCs w:val="24"/>
        </w:rPr>
        <w:t>” (Harris, 1968:323).</w:t>
      </w:r>
    </w:p>
    <w:p w14:paraId="7F5B6210" w14:textId="41263F58" w:rsidR="003072BD" w:rsidRPr="009537BF" w:rsidRDefault="003072BD" w:rsidP="009537BF">
      <w:pPr>
        <w:pStyle w:val="Prrafodelista"/>
        <w:numPr>
          <w:ilvl w:val="0"/>
          <w:numId w:val="4"/>
        </w:numPr>
        <w:spacing w:after="0" w:line="360" w:lineRule="auto"/>
        <w:rPr>
          <w:rFonts w:ascii="Arial" w:hAnsi="Arial" w:cs="Arial"/>
          <w:b/>
          <w:bCs/>
          <w:color w:val="ED7D31" w:themeColor="accent2"/>
          <w:sz w:val="24"/>
          <w:szCs w:val="24"/>
        </w:rPr>
      </w:pPr>
      <w:r w:rsidRPr="009537BF">
        <w:rPr>
          <w:rFonts w:ascii="Arial" w:hAnsi="Arial" w:cs="Arial"/>
          <w:b/>
          <w:bCs/>
          <w:color w:val="ED7D31" w:themeColor="accent2"/>
          <w:sz w:val="24"/>
          <w:szCs w:val="24"/>
        </w:rPr>
        <w:lastRenderedPageBreak/>
        <w:t>La escuela difusionista americana</w:t>
      </w:r>
    </w:p>
    <w:p w14:paraId="7358E0E4" w14:textId="7E963A64" w:rsidR="003072BD" w:rsidRDefault="0068789E" w:rsidP="009537BF">
      <w:pPr>
        <w:pStyle w:val="Prrafodelista"/>
        <w:spacing w:after="0" w:line="360" w:lineRule="auto"/>
        <w:ind w:left="0"/>
        <w:jc w:val="both"/>
        <w:rPr>
          <w:rFonts w:ascii="Arial" w:hAnsi="Arial" w:cs="Arial"/>
          <w:sz w:val="24"/>
          <w:szCs w:val="24"/>
        </w:rPr>
      </w:pPr>
      <w:r>
        <w:rPr>
          <w:rFonts w:ascii="Arial" w:hAnsi="Arial" w:cs="Arial"/>
          <w:sz w:val="24"/>
          <w:szCs w:val="24"/>
        </w:rPr>
        <w:tab/>
      </w:r>
      <w:r w:rsidRPr="0015508F">
        <w:rPr>
          <w:rFonts w:ascii="Arial" w:hAnsi="Arial" w:cs="Arial"/>
          <w:sz w:val="24"/>
          <w:szCs w:val="24"/>
        </w:rPr>
        <w:t xml:space="preserve">Otra vertiente del difusionismo se desarrolló en Estados Unidos. </w:t>
      </w:r>
      <w:r w:rsidR="0015508F">
        <w:rPr>
          <w:rFonts w:ascii="Arial" w:hAnsi="Arial" w:cs="Arial"/>
          <w:sz w:val="24"/>
          <w:szCs w:val="24"/>
        </w:rPr>
        <w:t xml:space="preserve">El difusionismo en EE. UU. </w:t>
      </w:r>
      <w:r w:rsidR="009537BF">
        <w:rPr>
          <w:rFonts w:ascii="Arial" w:hAnsi="Arial" w:cs="Arial"/>
          <w:sz w:val="24"/>
          <w:szCs w:val="24"/>
        </w:rPr>
        <w:t>t</w:t>
      </w:r>
      <w:r w:rsidR="0015508F">
        <w:rPr>
          <w:rFonts w:ascii="Arial" w:hAnsi="Arial" w:cs="Arial"/>
          <w:sz w:val="24"/>
          <w:szCs w:val="24"/>
        </w:rPr>
        <w:t>uvo una importante expresión a través del particularismo histórico de Boas (se desarrollará en Corrientes Antropológicas II). Los antropólogos norteamericanos importaron el concepto de “área cultural”.</w:t>
      </w:r>
    </w:p>
    <w:p w14:paraId="59A7E9FA" w14:textId="644CBB84" w:rsidR="0015508F" w:rsidRPr="0015508F" w:rsidRDefault="0015508F" w:rsidP="0015508F">
      <w:pPr>
        <w:pStyle w:val="Prrafodelista"/>
        <w:spacing w:after="0" w:line="360" w:lineRule="auto"/>
        <w:ind w:left="0"/>
        <w:jc w:val="both"/>
        <w:rPr>
          <w:rFonts w:ascii="Arial" w:hAnsi="Arial" w:cs="Arial"/>
          <w:sz w:val="24"/>
          <w:szCs w:val="24"/>
        </w:rPr>
      </w:pPr>
      <w:r w:rsidRPr="0015508F">
        <w:rPr>
          <w:rFonts w:ascii="Arial" w:hAnsi="Arial" w:cs="Arial"/>
          <w:sz w:val="24"/>
          <w:szCs w:val="24"/>
        </w:rPr>
        <w:t>“En los Estados Unidos, el pensamiento difusionista culminó en la elaboración del concepto de áreas culturales, unidades geográficas relativamente pequeñas basadas en la distribución contigua de elementos culturales.</w:t>
      </w:r>
      <w:r>
        <w:rPr>
          <w:rFonts w:ascii="Arial" w:hAnsi="Arial" w:cs="Arial"/>
          <w:sz w:val="24"/>
          <w:szCs w:val="24"/>
        </w:rPr>
        <w:t>” El concepto fue empleado</w:t>
      </w:r>
      <w:r w:rsidRPr="0015508F">
        <w:rPr>
          <w:rFonts w:ascii="Arial" w:hAnsi="Arial" w:cs="Arial"/>
          <w:sz w:val="24"/>
          <w:szCs w:val="24"/>
        </w:rPr>
        <w:t xml:space="preserve"> </w:t>
      </w:r>
      <w:r>
        <w:rPr>
          <w:rFonts w:ascii="Arial" w:hAnsi="Arial" w:cs="Arial"/>
          <w:sz w:val="24"/>
          <w:szCs w:val="24"/>
        </w:rPr>
        <w:t>“</w:t>
      </w:r>
      <w:r w:rsidRPr="0015508F">
        <w:rPr>
          <w:rFonts w:ascii="Arial" w:hAnsi="Arial" w:cs="Arial"/>
          <w:sz w:val="24"/>
          <w:szCs w:val="24"/>
        </w:rPr>
        <w:t>como un instrumento heurístico para clasificar y para representar c</w:t>
      </w:r>
      <w:r>
        <w:rPr>
          <w:rFonts w:ascii="Arial" w:hAnsi="Arial" w:cs="Arial"/>
          <w:sz w:val="24"/>
          <w:szCs w:val="24"/>
        </w:rPr>
        <w:t>a</w:t>
      </w:r>
      <w:r w:rsidRPr="0015508F">
        <w:rPr>
          <w:rFonts w:ascii="Arial" w:hAnsi="Arial" w:cs="Arial"/>
          <w:sz w:val="24"/>
          <w:szCs w:val="24"/>
        </w:rPr>
        <w:t>rtogr</w:t>
      </w:r>
      <w:r>
        <w:rPr>
          <w:rFonts w:ascii="Arial" w:hAnsi="Arial" w:cs="Arial"/>
          <w:sz w:val="24"/>
          <w:szCs w:val="24"/>
        </w:rPr>
        <w:t>áfi</w:t>
      </w:r>
      <w:r w:rsidRPr="0015508F">
        <w:rPr>
          <w:rFonts w:ascii="Arial" w:hAnsi="Arial" w:cs="Arial"/>
          <w:sz w:val="24"/>
          <w:szCs w:val="24"/>
        </w:rPr>
        <w:t>c</w:t>
      </w:r>
      <w:r>
        <w:rPr>
          <w:rFonts w:ascii="Arial" w:hAnsi="Arial" w:cs="Arial"/>
          <w:sz w:val="24"/>
          <w:szCs w:val="24"/>
        </w:rPr>
        <w:t>a</w:t>
      </w:r>
      <w:r w:rsidRPr="0015508F">
        <w:rPr>
          <w:rFonts w:ascii="Arial" w:hAnsi="Arial" w:cs="Arial"/>
          <w:sz w:val="24"/>
          <w:szCs w:val="24"/>
        </w:rPr>
        <w:t xml:space="preserve">mente los grupos tribales de </w:t>
      </w:r>
      <w:r>
        <w:rPr>
          <w:rFonts w:ascii="Arial" w:hAnsi="Arial" w:cs="Arial"/>
          <w:sz w:val="24"/>
          <w:szCs w:val="24"/>
        </w:rPr>
        <w:t>No</w:t>
      </w:r>
      <w:r w:rsidRPr="0015508F">
        <w:rPr>
          <w:rFonts w:ascii="Arial" w:hAnsi="Arial" w:cs="Arial"/>
          <w:sz w:val="24"/>
          <w:szCs w:val="24"/>
        </w:rPr>
        <w:t>rteamérica y Sudamérica</w:t>
      </w:r>
      <w:r>
        <w:rPr>
          <w:rFonts w:ascii="Arial" w:hAnsi="Arial" w:cs="Arial"/>
          <w:sz w:val="24"/>
          <w:szCs w:val="24"/>
        </w:rPr>
        <w:t>.” (Harris, 1968:323).</w:t>
      </w:r>
    </w:p>
    <w:p w14:paraId="3D89264B" w14:textId="4DE3B392" w:rsidR="00036E6A" w:rsidRPr="0015508F" w:rsidRDefault="00084C1D" w:rsidP="0015508F">
      <w:pPr>
        <w:spacing w:after="0" w:line="360" w:lineRule="auto"/>
        <w:jc w:val="both"/>
        <w:rPr>
          <w:rFonts w:ascii="Arial" w:hAnsi="Arial" w:cs="Arial"/>
          <w:sz w:val="24"/>
          <w:szCs w:val="24"/>
        </w:rPr>
      </w:pPr>
      <w:r w:rsidRPr="0015508F">
        <w:rPr>
          <w:rFonts w:ascii="Arial" w:hAnsi="Arial" w:cs="Arial"/>
          <w:sz w:val="24"/>
          <w:szCs w:val="24"/>
        </w:rPr>
        <w:t xml:space="preserve"> </w:t>
      </w:r>
      <w:r w:rsidR="009537BF">
        <w:rPr>
          <w:rFonts w:ascii="Arial" w:hAnsi="Arial" w:cs="Arial"/>
          <w:sz w:val="24"/>
          <w:szCs w:val="24"/>
        </w:rPr>
        <w:tab/>
        <w:t xml:space="preserve">Uno de los principales exponentes es </w:t>
      </w:r>
      <w:r w:rsidRPr="0015508F">
        <w:rPr>
          <w:rFonts w:ascii="Arial" w:hAnsi="Arial" w:cs="Arial"/>
          <w:sz w:val="24"/>
          <w:szCs w:val="24"/>
        </w:rPr>
        <w:t>Clark Wissler (1870-1947,</w:t>
      </w:r>
      <w:r w:rsidR="00191A61">
        <w:rPr>
          <w:rFonts w:ascii="Arial" w:hAnsi="Arial" w:cs="Arial"/>
          <w:sz w:val="24"/>
          <w:szCs w:val="24"/>
        </w:rPr>
        <w:t xml:space="preserve"> “</w:t>
      </w:r>
      <w:r w:rsidRPr="0015508F">
        <w:rPr>
          <w:rFonts w:ascii="Arial" w:hAnsi="Arial" w:cs="Arial"/>
          <w:sz w:val="24"/>
          <w:szCs w:val="24"/>
        </w:rPr>
        <w:t xml:space="preserve">investigador norteamericano heredero directo de las propuestas de dos de los más importantes representantes del </w:t>
      </w:r>
      <w:r w:rsidR="009537BF">
        <w:rPr>
          <w:rFonts w:ascii="Arial" w:hAnsi="Arial" w:cs="Arial"/>
          <w:sz w:val="24"/>
          <w:szCs w:val="24"/>
        </w:rPr>
        <w:t>d</w:t>
      </w:r>
      <w:r w:rsidRPr="0015508F">
        <w:rPr>
          <w:rFonts w:ascii="Arial" w:hAnsi="Arial" w:cs="Arial"/>
          <w:sz w:val="24"/>
          <w:szCs w:val="24"/>
        </w:rPr>
        <w:t>ifusionismo europeo: Schmidt y Graebner. Como consecuencia de la influencia de estos dos pensadores, Wissler desarrolla en los EEUU el trabajo sobre “áreas culturales”, entendiéndolas como regiones geográficas donde un conjunto de sociedades comparten rasgos comunes, llamados “complejo cultural”</w:t>
      </w:r>
      <w:r w:rsidR="00C74C91">
        <w:rPr>
          <w:rFonts w:ascii="Arial" w:hAnsi="Arial" w:cs="Arial"/>
          <w:sz w:val="24"/>
          <w:szCs w:val="24"/>
        </w:rPr>
        <w:t xml:space="preserve"> </w:t>
      </w:r>
      <w:r w:rsidR="009537BF">
        <w:rPr>
          <w:rFonts w:ascii="Arial" w:hAnsi="Arial" w:cs="Arial"/>
          <w:sz w:val="24"/>
          <w:szCs w:val="24"/>
        </w:rPr>
        <w:t xml:space="preserve">(Rodríguez, 2020:1) </w:t>
      </w:r>
    </w:p>
    <w:p w14:paraId="19AAF06D" w14:textId="23F76DBA" w:rsidR="00036E6A" w:rsidRDefault="00036E6A" w:rsidP="003E08B1">
      <w:pPr>
        <w:rPr>
          <w:rFonts w:ascii="Arial" w:hAnsi="Arial" w:cs="Arial"/>
          <w:sz w:val="24"/>
          <w:szCs w:val="24"/>
        </w:rPr>
      </w:pPr>
    </w:p>
    <w:p w14:paraId="2A0F6AA5" w14:textId="3B796CB7" w:rsidR="00191A61" w:rsidRDefault="00191A61" w:rsidP="00191A61">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La escuela histórico-cultural en Argentina</w:t>
      </w:r>
    </w:p>
    <w:p w14:paraId="3C4C71C3" w14:textId="5BB5120A" w:rsidR="00191A61" w:rsidRDefault="00191A61" w:rsidP="00191A61">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1B7A7B1C" w14:textId="22D5BD1F" w:rsidR="0005206B" w:rsidRDefault="0090136B" w:rsidP="002E6549">
      <w:pPr>
        <w:pStyle w:val="Prrafodelista"/>
        <w:spacing w:after="0" w:line="360" w:lineRule="auto"/>
        <w:ind w:left="0"/>
        <w:jc w:val="both"/>
        <w:rPr>
          <w:rFonts w:ascii="Arial" w:hAnsi="Arial" w:cs="Arial"/>
          <w:sz w:val="24"/>
          <w:szCs w:val="24"/>
        </w:rPr>
      </w:pPr>
      <w:r w:rsidRPr="002E6549">
        <w:rPr>
          <w:rFonts w:ascii="Arial" w:hAnsi="Arial" w:cs="Arial"/>
          <w:sz w:val="24"/>
          <w:szCs w:val="24"/>
        </w:rPr>
        <w:tab/>
      </w:r>
      <w:r w:rsidR="00DF301E" w:rsidRPr="002E6549">
        <w:rPr>
          <w:rFonts w:ascii="Arial" w:hAnsi="Arial" w:cs="Arial"/>
          <w:sz w:val="24"/>
          <w:szCs w:val="24"/>
        </w:rPr>
        <w:t xml:space="preserve">Entre quienes </w:t>
      </w:r>
      <w:r w:rsidRPr="002E6549">
        <w:rPr>
          <w:rFonts w:ascii="Arial" w:hAnsi="Arial" w:cs="Arial"/>
          <w:sz w:val="24"/>
          <w:szCs w:val="24"/>
        </w:rPr>
        <w:t>s</w:t>
      </w:r>
      <w:r w:rsidR="00DF301E" w:rsidRPr="002E6549">
        <w:rPr>
          <w:rFonts w:ascii="Arial" w:hAnsi="Arial" w:cs="Arial"/>
          <w:sz w:val="24"/>
          <w:szCs w:val="24"/>
        </w:rPr>
        <w:t>e han dedicado a estudiar</w:t>
      </w:r>
      <w:r w:rsidR="00C74C91">
        <w:rPr>
          <w:rFonts w:ascii="Arial" w:hAnsi="Arial" w:cs="Arial"/>
          <w:sz w:val="24"/>
          <w:szCs w:val="24"/>
        </w:rPr>
        <w:t xml:space="preserve"> y periodizar</w:t>
      </w:r>
      <w:r w:rsidR="00DF301E" w:rsidRPr="002E6549">
        <w:rPr>
          <w:rFonts w:ascii="Arial" w:hAnsi="Arial" w:cs="Arial"/>
          <w:sz w:val="24"/>
          <w:szCs w:val="24"/>
        </w:rPr>
        <w:t xml:space="preserve"> la historia de la antropología en Argentina, existe consenso en señalar que “desde 1930 a 1955, se extiende un período que se caracterizaría por la supremacía de la corriente histórico-cultural, de cuna austríaca y alemana, preocupada por trazar una historia total de la humanidad desde presupuestos difusionistas.” (Ratier, 2010: 23).</w:t>
      </w:r>
    </w:p>
    <w:p w14:paraId="6E26D6FB" w14:textId="28C165FB" w:rsidR="002E6549" w:rsidRDefault="002E6549" w:rsidP="002E6549">
      <w:pPr>
        <w:pStyle w:val="Prrafodelista"/>
        <w:spacing w:after="0" w:line="360" w:lineRule="auto"/>
        <w:ind w:left="0"/>
        <w:jc w:val="both"/>
        <w:rPr>
          <w:rFonts w:ascii="Arial" w:hAnsi="Arial" w:cs="Arial"/>
          <w:sz w:val="24"/>
          <w:szCs w:val="24"/>
        </w:rPr>
      </w:pPr>
      <w:r>
        <w:rPr>
          <w:rFonts w:ascii="Arial" w:hAnsi="Arial" w:cs="Arial"/>
          <w:sz w:val="24"/>
          <w:szCs w:val="24"/>
        </w:rPr>
        <w:tab/>
      </w:r>
      <w:r w:rsidR="001749DE">
        <w:rPr>
          <w:rFonts w:ascii="Arial" w:hAnsi="Arial" w:cs="Arial"/>
          <w:sz w:val="24"/>
          <w:szCs w:val="24"/>
        </w:rPr>
        <w:t>Para la década del ’30 se advierte la influencia de dos corrientes teóricas en la disciplina</w:t>
      </w:r>
      <w:r w:rsidR="002A7E80">
        <w:rPr>
          <w:rFonts w:ascii="Arial" w:hAnsi="Arial" w:cs="Arial"/>
          <w:sz w:val="24"/>
          <w:szCs w:val="24"/>
        </w:rPr>
        <w:t xml:space="preserve"> en nuestro país</w:t>
      </w:r>
      <w:r w:rsidR="001749DE">
        <w:rPr>
          <w:rFonts w:ascii="Arial" w:hAnsi="Arial" w:cs="Arial"/>
          <w:sz w:val="24"/>
          <w:szCs w:val="24"/>
        </w:rPr>
        <w:t xml:space="preserve">, una representada por el etnólogo </w:t>
      </w:r>
      <w:r w:rsidR="00B91D21">
        <w:rPr>
          <w:rFonts w:ascii="Arial" w:hAnsi="Arial" w:cs="Arial"/>
          <w:sz w:val="24"/>
          <w:szCs w:val="24"/>
        </w:rPr>
        <w:t>suizo</w:t>
      </w:r>
      <w:r w:rsidR="001749DE">
        <w:rPr>
          <w:rFonts w:ascii="Arial" w:hAnsi="Arial" w:cs="Arial"/>
          <w:sz w:val="24"/>
          <w:szCs w:val="24"/>
        </w:rPr>
        <w:t xml:space="preserve"> Alfred Métraux</w:t>
      </w:r>
      <w:r w:rsidR="008E2176">
        <w:rPr>
          <w:rStyle w:val="Refdenotaalpie"/>
          <w:rFonts w:ascii="Arial" w:hAnsi="Arial" w:cs="Arial"/>
          <w:sz w:val="24"/>
          <w:szCs w:val="24"/>
        </w:rPr>
        <w:footnoteReference w:id="3"/>
      </w:r>
      <w:r w:rsidR="001749DE">
        <w:rPr>
          <w:rFonts w:ascii="Arial" w:hAnsi="Arial" w:cs="Arial"/>
          <w:sz w:val="24"/>
          <w:szCs w:val="24"/>
        </w:rPr>
        <w:t xml:space="preserve">, </w:t>
      </w:r>
      <w:r w:rsidR="003D2970">
        <w:rPr>
          <w:rFonts w:ascii="Arial" w:hAnsi="Arial" w:cs="Arial"/>
          <w:sz w:val="24"/>
          <w:szCs w:val="24"/>
        </w:rPr>
        <w:t xml:space="preserve">con base en la etnografía de campo, la sociología francesa y la antropología norteamericana, </w:t>
      </w:r>
      <w:r w:rsidR="001749DE">
        <w:rPr>
          <w:rFonts w:ascii="Arial" w:hAnsi="Arial" w:cs="Arial"/>
          <w:sz w:val="24"/>
          <w:szCs w:val="24"/>
        </w:rPr>
        <w:t xml:space="preserve">y otra, que se volverá hegemónica, la escuela </w:t>
      </w:r>
      <w:r w:rsidR="001749DE">
        <w:rPr>
          <w:rFonts w:ascii="Arial" w:hAnsi="Arial" w:cs="Arial"/>
          <w:sz w:val="24"/>
          <w:szCs w:val="24"/>
        </w:rPr>
        <w:lastRenderedPageBreak/>
        <w:t>histórico-cultural, a partir de la llegada al país del antropólogo italiano José Imbelloni.</w:t>
      </w:r>
    </w:p>
    <w:p w14:paraId="4EEA5D82" w14:textId="2F4DE563" w:rsidR="002E6549" w:rsidRDefault="00883EDD" w:rsidP="002E6549">
      <w:pPr>
        <w:pStyle w:val="Prrafodelista"/>
        <w:spacing w:after="0" w:line="360" w:lineRule="auto"/>
        <w:ind w:left="0"/>
        <w:jc w:val="both"/>
        <w:rPr>
          <w:rFonts w:ascii="Arial" w:hAnsi="Arial" w:cs="Arial"/>
          <w:sz w:val="24"/>
          <w:szCs w:val="24"/>
        </w:rPr>
      </w:pPr>
      <w:r>
        <w:rPr>
          <w:rFonts w:ascii="Arial" w:hAnsi="Arial" w:cs="Arial"/>
          <w:sz w:val="24"/>
          <w:szCs w:val="24"/>
        </w:rPr>
        <w:tab/>
        <w:t>Los antropólogos histórico-culturales se entroncarán con una tendencia nacionalista que se venía conf</w:t>
      </w:r>
      <w:r w:rsidR="00800AAA">
        <w:rPr>
          <w:rFonts w:ascii="Arial" w:hAnsi="Arial" w:cs="Arial"/>
          <w:sz w:val="24"/>
          <w:szCs w:val="24"/>
        </w:rPr>
        <w:t>ormando</w:t>
      </w:r>
      <w:r>
        <w:rPr>
          <w:rFonts w:ascii="Arial" w:hAnsi="Arial" w:cs="Arial"/>
          <w:sz w:val="24"/>
          <w:szCs w:val="24"/>
        </w:rPr>
        <w:t xml:space="preserve"> en el país desde las primeras décadas del siglo. </w:t>
      </w:r>
      <w:r w:rsidR="00EA01AA">
        <w:rPr>
          <w:rFonts w:ascii="Arial" w:hAnsi="Arial" w:cs="Arial"/>
          <w:sz w:val="24"/>
          <w:szCs w:val="24"/>
        </w:rPr>
        <w:t>“</w:t>
      </w:r>
      <w:r>
        <w:rPr>
          <w:rFonts w:ascii="Arial" w:hAnsi="Arial" w:cs="Arial"/>
          <w:sz w:val="24"/>
          <w:szCs w:val="24"/>
        </w:rPr>
        <w:t>Se configura en el p</w:t>
      </w:r>
      <w:r w:rsidR="00EA01AA">
        <w:rPr>
          <w:rFonts w:ascii="Arial" w:hAnsi="Arial" w:cs="Arial"/>
          <w:sz w:val="24"/>
          <w:szCs w:val="24"/>
        </w:rPr>
        <w:t>lan</w:t>
      </w:r>
      <w:r>
        <w:rPr>
          <w:rFonts w:ascii="Arial" w:hAnsi="Arial" w:cs="Arial"/>
          <w:sz w:val="24"/>
          <w:szCs w:val="24"/>
        </w:rPr>
        <w:t>o intelectual un grupo identificado con el desarrollo de un nacionalismo de derecha</w:t>
      </w:r>
      <w:r w:rsidR="00EA01AA">
        <w:rPr>
          <w:rFonts w:ascii="Arial" w:hAnsi="Arial" w:cs="Arial"/>
          <w:sz w:val="24"/>
          <w:szCs w:val="24"/>
        </w:rPr>
        <w:t xml:space="preserve"> (…) A ese nacionalismo comienza a vincularse el joven Imbelloni (…)” (Garbulsky, 2014: 185-186</w:t>
      </w:r>
      <w:r w:rsidR="002260D6">
        <w:rPr>
          <w:rFonts w:ascii="Arial" w:hAnsi="Arial" w:cs="Arial"/>
          <w:sz w:val="24"/>
          <w:szCs w:val="24"/>
        </w:rPr>
        <w:t>).</w:t>
      </w:r>
    </w:p>
    <w:p w14:paraId="12A5A49F" w14:textId="287F6B96" w:rsidR="00601A2A" w:rsidRDefault="000F095D" w:rsidP="0074739B">
      <w:pPr>
        <w:pStyle w:val="Prrafodelista"/>
        <w:spacing w:after="0" w:line="360" w:lineRule="auto"/>
        <w:ind w:left="0"/>
        <w:jc w:val="both"/>
        <w:rPr>
          <w:rFonts w:ascii="Arial" w:hAnsi="Arial" w:cs="Arial"/>
          <w:color w:val="777777"/>
          <w:sz w:val="24"/>
          <w:szCs w:val="24"/>
          <w:shd w:val="clear" w:color="auto" w:fill="FFFFFF"/>
        </w:rPr>
      </w:pPr>
      <w:r>
        <w:rPr>
          <w:rFonts w:ascii="Arial" w:hAnsi="Arial" w:cs="Arial"/>
          <w:noProof/>
          <w:sz w:val="24"/>
          <w:szCs w:val="24"/>
        </w:rPr>
        <w:drawing>
          <wp:anchor distT="0" distB="0" distL="114300" distR="114300" simplePos="0" relativeHeight="251659264" behindDoc="0" locked="0" layoutInCell="1" allowOverlap="1" wp14:anchorId="6FDA6ABC" wp14:editId="48FBAFD5">
            <wp:simplePos x="0" y="0"/>
            <wp:positionH relativeFrom="column">
              <wp:posOffset>39053</wp:posOffset>
            </wp:positionH>
            <wp:positionV relativeFrom="paragraph">
              <wp:posOffset>38418</wp:posOffset>
            </wp:positionV>
            <wp:extent cx="1266190" cy="1394341"/>
            <wp:effectExtent l="38100" t="38100" r="29210" b="349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66190" cy="1394341"/>
                    </a:xfrm>
                    <a:prstGeom prst="rect">
                      <a:avLst/>
                    </a:prstGeom>
                    <a:ln w="28575">
                      <a:solidFill>
                        <a:schemeClr val="accent4"/>
                      </a:solidFill>
                    </a:ln>
                  </pic:spPr>
                </pic:pic>
              </a:graphicData>
            </a:graphic>
            <wp14:sizeRelH relativeFrom="page">
              <wp14:pctWidth>0</wp14:pctWidth>
            </wp14:sizeRelH>
            <wp14:sizeRelV relativeFrom="page">
              <wp14:pctHeight>0</wp14:pctHeight>
            </wp14:sizeRelV>
          </wp:anchor>
        </w:drawing>
      </w:r>
      <w:r w:rsidR="0074739B" w:rsidRPr="0074739B">
        <w:rPr>
          <w:rFonts w:ascii="Arial" w:hAnsi="Arial" w:cs="Arial"/>
          <w:color w:val="777777"/>
          <w:sz w:val="24"/>
          <w:szCs w:val="24"/>
          <w:shd w:val="clear" w:color="auto" w:fill="FFFFFF"/>
        </w:rPr>
        <w:t>“Nacido en Italia en 1885, Imbelloni estudia Medicina en la Facultad de Perugia. En su juventud, permanece en la Argentina algunos años, como corresponsal de un diario italiano. En esta etapa produce algunos trabajos de corte netamente positivista y a favor de la guerra, inspirados en el neodarwinismo social, en los cuales la guerra se justifica como parte de la lucha por la vida. Imbelloni regresa a Italia para alistarse como voluntario en la Primera Guerra Mundial, y en pleno auge de las doctrinas racialistas (y en los albores del ascenso del fascismo) emprende estudios en Ciencias Naturales y en Antropología en la Universidad de Padua, doctorándose en 1920 con la tesis “Introduzioni a nuovi studi di cranitrigonometria”. En 1921 retorna a la Argentina, donde gana por concurso el puesto de profesor suplente de Antropología en la Facultad de Filosofía y Letras (</w:t>
      </w:r>
      <w:r w:rsidR="00F96397">
        <w:rPr>
          <w:rFonts w:ascii="Arial" w:hAnsi="Arial" w:cs="Arial"/>
          <w:color w:val="777777"/>
          <w:sz w:val="24"/>
          <w:szCs w:val="24"/>
          <w:shd w:val="clear" w:color="auto" w:fill="FFFFFF"/>
        </w:rPr>
        <w:t>UBA</w:t>
      </w:r>
      <w:r w:rsidR="0074739B" w:rsidRPr="0074739B">
        <w:rPr>
          <w:rFonts w:ascii="Arial" w:hAnsi="Arial" w:cs="Arial"/>
          <w:color w:val="777777"/>
          <w:sz w:val="24"/>
          <w:szCs w:val="24"/>
          <w:shd w:val="clear" w:color="auto" w:fill="FFFFFF"/>
        </w:rPr>
        <w:t xml:space="preserve">), además de vincularse al Museo Etnográfico desde 1922 como encargado de investigaciones antropológicas. Entre 1921 y 1930 se desempeña como profesor de Historia Antigua en la Universidad de Paraná. Desde 1939 es profesor titular en la cátedra de Antropología, en la </w:t>
      </w:r>
      <w:r>
        <w:rPr>
          <w:rFonts w:ascii="Arial" w:hAnsi="Arial" w:cs="Arial"/>
          <w:color w:val="777777"/>
          <w:sz w:val="24"/>
          <w:szCs w:val="24"/>
          <w:shd w:val="clear" w:color="auto" w:fill="FFFFFF"/>
        </w:rPr>
        <w:t>UBA</w:t>
      </w:r>
      <w:r w:rsidR="0074739B" w:rsidRPr="0074739B">
        <w:rPr>
          <w:rFonts w:ascii="Arial" w:hAnsi="Arial" w:cs="Arial"/>
          <w:color w:val="777777"/>
          <w:sz w:val="24"/>
          <w:szCs w:val="24"/>
          <w:shd w:val="clear" w:color="auto" w:fill="FFFFFF"/>
        </w:rPr>
        <w:t>. En 1946, con el advenimiento del peronismo, ocupa el puesto de director del Museo Etnográfico, cuando Francisco de Aparicio es exonerado de ese cargo. Además, en 1947 el Gobierno Nacional lo nombra director del recientemente creado Instituto de Antropología, también dependiente de la Facultad de Filosofía y Letras. Los documentos de Imbelloni conservados en el Museo Etnográfico dejan entrever la sólida red de vínculos institucionales que confirman la centralidad nacional del director de la biblioteca Humanior. Con el golpe de 1955 y la consecuente intervención de las universidades, Imbelloni es apartado de sus cargos, como parte del proceso de desperonización, y cumple sus últimos años de docencia en la Universidad del Salvador.”</w:t>
      </w:r>
      <w:r w:rsidR="00247592">
        <w:rPr>
          <w:rFonts w:ascii="Arial" w:hAnsi="Arial" w:cs="Arial"/>
          <w:color w:val="777777"/>
          <w:sz w:val="24"/>
          <w:szCs w:val="24"/>
          <w:shd w:val="clear" w:color="auto" w:fill="FFFFFF"/>
        </w:rPr>
        <w:t xml:space="preserve"> (Malhe, 2018.94).</w:t>
      </w:r>
    </w:p>
    <w:p w14:paraId="28B6FB11" w14:textId="05262D41" w:rsidR="003139DD" w:rsidRPr="004017BF" w:rsidRDefault="003139DD" w:rsidP="003139DD">
      <w:pPr>
        <w:spacing w:after="0" w:line="360" w:lineRule="auto"/>
        <w:jc w:val="both"/>
        <w:rPr>
          <w:rFonts w:ascii="Arial" w:hAnsi="Arial" w:cs="Arial"/>
          <w:sz w:val="24"/>
          <w:szCs w:val="24"/>
        </w:rPr>
      </w:pPr>
      <w:r>
        <w:rPr>
          <w:rFonts w:ascii="Arial" w:hAnsi="Arial" w:cs="Arial"/>
          <w:color w:val="777777"/>
          <w:sz w:val="24"/>
          <w:szCs w:val="24"/>
          <w:shd w:val="clear" w:color="auto" w:fill="FFFFFF"/>
        </w:rPr>
        <w:lastRenderedPageBreak/>
        <w:tab/>
      </w:r>
      <w:r>
        <w:rPr>
          <w:rFonts w:ascii="Arial" w:hAnsi="Arial" w:cs="Arial"/>
          <w:sz w:val="24"/>
          <w:szCs w:val="24"/>
        </w:rPr>
        <w:t>El período de predominio de la escuela histórico-cultural en la antropología argentina se caracterizó por discusiones teóricas sobre temas que, en el viejo mundo y los Estados Unidos habían perdido interés. El país se mantiene al margen de las discusiones que sacuden a la disciplina en otras latitudes.</w:t>
      </w:r>
      <w:r w:rsidR="00A70CBB">
        <w:rPr>
          <w:rFonts w:ascii="Arial" w:hAnsi="Arial" w:cs="Arial"/>
          <w:sz w:val="24"/>
          <w:szCs w:val="24"/>
        </w:rPr>
        <w:t xml:space="preserve"> </w:t>
      </w:r>
      <w:r>
        <w:rPr>
          <w:rFonts w:ascii="Arial" w:hAnsi="Arial" w:cs="Arial"/>
          <w:sz w:val="24"/>
          <w:szCs w:val="24"/>
        </w:rPr>
        <w:t xml:space="preserve">(Ratier, 2010; Garbulsky, 2014). </w:t>
      </w:r>
      <w:r w:rsidRPr="004017BF">
        <w:rPr>
          <w:rFonts w:ascii="Arial" w:hAnsi="Arial" w:cs="Arial"/>
          <w:sz w:val="24"/>
          <w:szCs w:val="24"/>
        </w:rPr>
        <w:t xml:space="preserve"> “En esos años, proliferaron los arqueólogos, aparecieron algunos etnógrafos (en el sentido de estudiosos sistemáticos de grupos indígenas) y faltaron, por completo, los antropólogos sociales, capaces de ampliar el radio de la indagación antropológica más allá de los “objetos tradicionales”. El modelo del sabio polivalente mantuvo aún su vigencia y, a menudo, diversos profesionales incursionaron, al mismo tiempo, en una u otra rama de la antropología. Imbelloni, Palavecino, Bórmida, Vignati, Canals Frau son algunos ejemplos: ora cultivaron la arqueología, ora la etnología, ora la antropología física</w:t>
      </w:r>
      <w:r>
        <w:rPr>
          <w:rFonts w:ascii="Arial" w:hAnsi="Arial" w:cs="Arial"/>
          <w:sz w:val="24"/>
          <w:szCs w:val="24"/>
        </w:rPr>
        <w:t>.” (Ratier, 2010. 279).</w:t>
      </w:r>
    </w:p>
    <w:p w14:paraId="273C9913" w14:textId="54047DA0" w:rsidR="003139DD" w:rsidRDefault="003139DD" w:rsidP="005F3696">
      <w:pPr>
        <w:pStyle w:val="Prrafodelista"/>
        <w:spacing w:after="0" w:line="360" w:lineRule="auto"/>
        <w:ind w:left="0"/>
        <w:jc w:val="both"/>
        <w:rPr>
          <w:rFonts w:ascii="Arial" w:hAnsi="Arial" w:cs="Arial"/>
          <w:sz w:val="24"/>
          <w:szCs w:val="24"/>
        </w:rPr>
      </w:pPr>
      <w:r>
        <w:rPr>
          <w:rFonts w:ascii="Arial" w:hAnsi="Arial" w:cs="Arial"/>
          <w:color w:val="777777"/>
          <w:sz w:val="24"/>
          <w:szCs w:val="24"/>
          <w:shd w:val="clear" w:color="auto" w:fill="FFFFFF"/>
        </w:rPr>
        <w:tab/>
      </w:r>
      <w:r w:rsidR="0090136B" w:rsidRPr="002E6549">
        <w:rPr>
          <w:rFonts w:ascii="Arial" w:hAnsi="Arial" w:cs="Arial"/>
          <w:sz w:val="24"/>
          <w:szCs w:val="24"/>
        </w:rPr>
        <w:t>En el nuevo contexto</w:t>
      </w:r>
      <w:r w:rsidR="00883EDD">
        <w:rPr>
          <w:rFonts w:ascii="Arial" w:hAnsi="Arial" w:cs="Arial"/>
          <w:sz w:val="24"/>
          <w:szCs w:val="24"/>
        </w:rPr>
        <w:t xml:space="preserve"> </w:t>
      </w:r>
      <w:r w:rsidR="0090136B" w:rsidRPr="002E6549">
        <w:rPr>
          <w:rFonts w:ascii="Arial" w:hAnsi="Arial" w:cs="Arial"/>
          <w:sz w:val="24"/>
          <w:szCs w:val="24"/>
        </w:rPr>
        <w:t xml:space="preserve">sociopolítico que se abre en 1946, la escuela histórico-cultural reafirma su dominio sobre la antropología argentina. </w:t>
      </w:r>
      <w:r w:rsidR="002E6549" w:rsidRPr="002E6549">
        <w:rPr>
          <w:rFonts w:ascii="Arial" w:hAnsi="Arial" w:cs="Arial"/>
          <w:sz w:val="24"/>
          <w:szCs w:val="24"/>
        </w:rPr>
        <w:t>(</w:t>
      </w:r>
      <w:r w:rsidR="0090136B" w:rsidRPr="002E6549">
        <w:rPr>
          <w:rFonts w:ascii="Arial" w:hAnsi="Arial" w:cs="Arial"/>
          <w:sz w:val="24"/>
          <w:szCs w:val="24"/>
        </w:rPr>
        <w:t>Ratier, 2010).</w:t>
      </w:r>
      <w:r w:rsidR="008526F2">
        <w:rPr>
          <w:rFonts w:ascii="Arial" w:hAnsi="Arial" w:cs="Arial"/>
          <w:sz w:val="24"/>
          <w:szCs w:val="24"/>
        </w:rPr>
        <w:t xml:space="preserve"> L</w:t>
      </w:r>
      <w:r w:rsidR="00FC51B6">
        <w:rPr>
          <w:rFonts w:ascii="Arial" w:hAnsi="Arial" w:cs="Arial"/>
          <w:sz w:val="24"/>
          <w:szCs w:val="24"/>
        </w:rPr>
        <w:t>a cuestión del poblamiento del país, la reapertura inmigratoria y el reclamo por un estudio antropológico</w:t>
      </w:r>
      <w:r w:rsidR="004161DE">
        <w:rPr>
          <w:rFonts w:ascii="Arial" w:hAnsi="Arial" w:cs="Arial"/>
          <w:sz w:val="24"/>
          <w:szCs w:val="24"/>
        </w:rPr>
        <w:t xml:space="preserve"> que contribuya a conocer el perfil</w:t>
      </w:r>
      <w:r w:rsidR="00FC51B6">
        <w:rPr>
          <w:rFonts w:ascii="Arial" w:hAnsi="Arial" w:cs="Arial"/>
          <w:sz w:val="24"/>
          <w:szCs w:val="24"/>
        </w:rPr>
        <w:t xml:space="preserve"> de la población</w:t>
      </w:r>
      <w:r w:rsidR="004161DE">
        <w:rPr>
          <w:rFonts w:ascii="Arial" w:hAnsi="Arial" w:cs="Arial"/>
          <w:sz w:val="24"/>
          <w:szCs w:val="24"/>
        </w:rPr>
        <w:t xml:space="preserve"> </w:t>
      </w:r>
      <w:r w:rsidR="00800AAA">
        <w:rPr>
          <w:rFonts w:ascii="Arial" w:hAnsi="Arial" w:cs="Arial"/>
          <w:sz w:val="24"/>
          <w:szCs w:val="24"/>
        </w:rPr>
        <w:t>nacional</w:t>
      </w:r>
      <w:r w:rsidR="004161DE">
        <w:rPr>
          <w:rFonts w:ascii="Arial" w:hAnsi="Arial" w:cs="Arial"/>
          <w:sz w:val="24"/>
          <w:szCs w:val="24"/>
        </w:rPr>
        <w:t>,</w:t>
      </w:r>
      <w:r w:rsidR="00FC51B6">
        <w:rPr>
          <w:rFonts w:ascii="Arial" w:hAnsi="Arial" w:cs="Arial"/>
          <w:sz w:val="24"/>
          <w:szCs w:val="24"/>
        </w:rPr>
        <w:t xml:space="preserve"> </w:t>
      </w:r>
      <w:r w:rsidR="004A185C">
        <w:rPr>
          <w:rFonts w:ascii="Arial" w:hAnsi="Arial" w:cs="Arial"/>
          <w:sz w:val="24"/>
          <w:szCs w:val="24"/>
        </w:rPr>
        <w:t>producirán una incorporación de la disciplina a los planes del gobierno</w:t>
      </w:r>
      <w:r w:rsidR="00FC51B6">
        <w:rPr>
          <w:rFonts w:ascii="Arial" w:hAnsi="Arial" w:cs="Arial"/>
          <w:sz w:val="24"/>
          <w:szCs w:val="24"/>
        </w:rPr>
        <w:t xml:space="preserve"> </w:t>
      </w:r>
      <w:r w:rsidR="004A185C">
        <w:rPr>
          <w:rFonts w:ascii="Arial" w:hAnsi="Arial" w:cs="Arial"/>
          <w:sz w:val="24"/>
          <w:szCs w:val="24"/>
        </w:rPr>
        <w:t>Imbelloni se configura como un experto al servicio del Estado, especialmente</w:t>
      </w:r>
      <w:r>
        <w:rPr>
          <w:rFonts w:ascii="Arial" w:hAnsi="Arial" w:cs="Arial"/>
          <w:sz w:val="24"/>
          <w:szCs w:val="24"/>
        </w:rPr>
        <w:t xml:space="preserve"> en relación a la política inmigratoria. </w:t>
      </w:r>
      <w:r w:rsidR="005F3696">
        <w:rPr>
          <w:rFonts w:ascii="Arial" w:hAnsi="Arial" w:cs="Arial"/>
          <w:sz w:val="24"/>
          <w:szCs w:val="24"/>
        </w:rPr>
        <w:t xml:space="preserve"> </w:t>
      </w:r>
    </w:p>
    <w:p w14:paraId="66393CD4" w14:textId="58E0B468" w:rsidR="00191A61" w:rsidRPr="002E6549" w:rsidRDefault="003139DD" w:rsidP="005F3696">
      <w:pPr>
        <w:pStyle w:val="Prrafodelista"/>
        <w:spacing w:after="0" w:line="360" w:lineRule="auto"/>
        <w:ind w:left="0"/>
        <w:jc w:val="both"/>
        <w:rPr>
          <w:rFonts w:ascii="Arial" w:hAnsi="Arial" w:cs="Arial"/>
          <w:sz w:val="24"/>
          <w:szCs w:val="24"/>
        </w:rPr>
      </w:pPr>
      <w:r>
        <w:rPr>
          <w:rFonts w:ascii="Arial" w:hAnsi="Arial" w:cs="Arial"/>
          <w:sz w:val="24"/>
          <w:szCs w:val="24"/>
        </w:rPr>
        <w:tab/>
        <w:t>A su vez, un</w:t>
      </w:r>
      <w:r w:rsidR="005F3696">
        <w:rPr>
          <w:rFonts w:ascii="Arial" w:hAnsi="Arial" w:cs="Arial"/>
          <w:sz w:val="24"/>
          <w:szCs w:val="24"/>
        </w:rPr>
        <w:t xml:space="preserve"> conjunto de profesionales europeos migra a nuestro país por sus conocidas simpatías con las políticas del Eje. (Garbulsky,</w:t>
      </w:r>
      <w:r w:rsidR="00AF4FAA">
        <w:rPr>
          <w:rFonts w:ascii="Arial" w:hAnsi="Arial" w:cs="Arial"/>
          <w:sz w:val="24"/>
          <w:szCs w:val="24"/>
        </w:rPr>
        <w:t>2014)</w:t>
      </w:r>
      <w:r w:rsidR="005F3696">
        <w:rPr>
          <w:rFonts w:ascii="Arial" w:hAnsi="Arial" w:cs="Arial"/>
          <w:sz w:val="24"/>
          <w:szCs w:val="24"/>
        </w:rPr>
        <w:t xml:space="preserve"> Entre ellos podemos mencionar </w:t>
      </w:r>
      <w:r w:rsidR="00C74C91">
        <w:rPr>
          <w:rFonts w:ascii="Arial" w:hAnsi="Arial" w:cs="Arial"/>
          <w:sz w:val="24"/>
          <w:szCs w:val="24"/>
        </w:rPr>
        <w:t>“</w:t>
      </w:r>
      <w:r w:rsidR="005F3696">
        <w:rPr>
          <w:rFonts w:ascii="Arial" w:hAnsi="Arial" w:cs="Arial"/>
          <w:sz w:val="24"/>
          <w:szCs w:val="24"/>
        </w:rPr>
        <w:t xml:space="preserve">la </w:t>
      </w:r>
      <w:r w:rsidR="00411BFC" w:rsidRPr="002E6549">
        <w:rPr>
          <w:rFonts w:ascii="Arial" w:hAnsi="Arial" w:cs="Arial"/>
          <w:sz w:val="24"/>
          <w:szCs w:val="24"/>
        </w:rPr>
        <w:t>llegada y la instalación en el país de Osvaldo F.A. Menghin, prehistoriador austríaco notable, cuya actividad política, durante la Segunda Guerra Mundial, lo obligó al exilio. Entre otras cosas, había sido Ministro de Educación durante el régimen nazi que unificó a su país con Alemania. En 1946, lo había precedido Marcelo Bórmida, joven antropólogo físico italiano, Oficial del ejército de Mussolini durante la contienda. Otro inmigrante político de la posguerra, el yugoslavo Branimiro Males, es el nuevo Director del Instituto de Etnología de Tucumán. Menghin comienza a trabajar en la Universidad de Buenos Aires. Bórmida cursa la carrera de Historia y acompaña, luego, a Imbelloni en sus expediciones a la Patagonia</w:t>
      </w:r>
      <w:r w:rsidR="00C74C91">
        <w:rPr>
          <w:rFonts w:ascii="Arial" w:hAnsi="Arial" w:cs="Arial"/>
          <w:sz w:val="24"/>
          <w:szCs w:val="24"/>
        </w:rPr>
        <w:t>.” (Ratier, 2010</w:t>
      </w:r>
      <w:r w:rsidR="00320A59">
        <w:rPr>
          <w:rFonts w:ascii="Arial" w:hAnsi="Arial" w:cs="Arial"/>
          <w:sz w:val="24"/>
          <w:szCs w:val="24"/>
        </w:rPr>
        <w:t>: 26)</w:t>
      </w:r>
      <w:r w:rsidR="00800E53">
        <w:rPr>
          <w:rFonts w:ascii="Arial" w:hAnsi="Arial" w:cs="Arial"/>
          <w:sz w:val="24"/>
          <w:szCs w:val="24"/>
        </w:rPr>
        <w:t xml:space="preserve">  </w:t>
      </w:r>
    </w:p>
    <w:p w14:paraId="5288EE70" w14:textId="73AAF650" w:rsidR="00411BFC" w:rsidRPr="002E6549" w:rsidRDefault="00AF4FAA" w:rsidP="002E6549">
      <w:pPr>
        <w:spacing w:after="0" w:line="360" w:lineRule="auto"/>
        <w:jc w:val="both"/>
        <w:rPr>
          <w:rFonts w:ascii="Arial" w:hAnsi="Arial" w:cs="Arial"/>
          <w:sz w:val="24"/>
          <w:szCs w:val="24"/>
        </w:rPr>
      </w:pPr>
      <w:r>
        <w:rPr>
          <w:rFonts w:ascii="Arial" w:hAnsi="Arial" w:cs="Arial"/>
          <w:sz w:val="24"/>
          <w:szCs w:val="24"/>
        </w:rPr>
        <w:lastRenderedPageBreak/>
        <w:tab/>
      </w:r>
      <w:r w:rsidR="003139DD">
        <w:rPr>
          <w:rFonts w:ascii="Arial" w:hAnsi="Arial" w:cs="Arial"/>
          <w:sz w:val="24"/>
          <w:szCs w:val="24"/>
        </w:rPr>
        <w:t xml:space="preserve">Ratier ha destacado que </w:t>
      </w:r>
      <w:r w:rsidR="005809C4">
        <w:rPr>
          <w:rFonts w:ascii="Arial" w:hAnsi="Arial" w:cs="Arial"/>
          <w:sz w:val="24"/>
          <w:szCs w:val="24"/>
        </w:rPr>
        <w:t>“</w:t>
      </w:r>
      <w:r w:rsidR="00411BFC" w:rsidRPr="002E6549">
        <w:rPr>
          <w:rFonts w:ascii="Arial" w:hAnsi="Arial" w:cs="Arial"/>
          <w:sz w:val="24"/>
          <w:szCs w:val="24"/>
        </w:rPr>
        <w:t>la caída de Imbelloni, al producirse el golpe militar contra Perón, en verdad, no clausuró el auge de la escuela en Buenos Aires. Menghin y Bórmida mantuvieron, por largos años, las riendas del poder e influyeron en las generaciones sucesivas, en un proceso que aún continúa. La autodenominada “revolución libertadora” expulsó a los peronistas de la universidad, pero no, a los histórico-culturales del campo antropológico.</w:t>
      </w:r>
      <w:r w:rsidR="00BC6404">
        <w:rPr>
          <w:rFonts w:ascii="Arial" w:hAnsi="Arial" w:cs="Arial"/>
          <w:sz w:val="24"/>
          <w:szCs w:val="24"/>
        </w:rPr>
        <w:t xml:space="preserve">” </w:t>
      </w:r>
      <w:r w:rsidR="003139DD">
        <w:rPr>
          <w:rFonts w:ascii="Arial" w:hAnsi="Arial" w:cs="Arial"/>
          <w:sz w:val="24"/>
          <w:szCs w:val="24"/>
        </w:rPr>
        <w:t>(</w:t>
      </w:r>
      <w:r w:rsidR="00BC6404">
        <w:rPr>
          <w:rFonts w:ascii="Arial" w:hAnsi="Arial" w:cs="Arial"/>
          <w:sz w:val="24"/>
          <w:szCs w:val="24"/>
        </w:rPr>
        <w:t>Ratier, 2010.27</w:t>
      </w:r>
      <w:r w:rsidR="00A70CBB">
        <w:rPr>
          <w:rFonts w:ascii="Arial" w:hAnsi="Arial" w:cs="Arial"/>
          <w:sz w:val="24"/>
          <w:szCs w:val="24"/>
        </w:rPr>
        <w:t>)</w:t>
      </w:r>
      <w:r w:rsidR="00BC6404">
        <w:rPr>
          <w:rFonts w:ascii="Arial" w:hAnsi="Arial" w:cs="Arial"/>
          <w:sz w:val="24"/>
          <w:szCs w:val="24"/>
        </w:rPr>
        <w:t>.</w:t>
      </w:r>
    </w:p>
    <w:p w14:paraId="21CDD9D6" w14:textId="1EE77500" w:rsidR="00191A61" w:rsidRPr="00C94CB4" w:rsidRDefault="00C94CB4" w:rsidP="002E6549">
      <w:pPr>
        <w:spacing w:after="0" w:line="360" w:lineRule="auto"/>
        <w:jc w:val="both"/>
        <w:rPr>
          <w:rFonts w:ascii="Arial" w:hAnsi="Arial" w:cs="Arial"/>
          <w:sz w:val="24"/>
          <w:szCs w:val="24"/>
        </w:rPr>
      </w:pPr>
      <w:r>
        <w:rPr>
          <w:rFonts w:ascii="Arial" w:hAnsi="Arial" w:cs="Arial"/>
          <w:sz w:val="24"/>
          <w:szCs w:val="24"/>
        </w:rPr>
        <w:tab/>
      </w:r>
      <w:r w:rsidR="004161DE">
        <w:rPr>
          <w:rFonts w:ascii="Arial" w:hAnsi="Arial" w:cs="Arial"/>
          <w:sz w:val="24"/>
          <w:szCs w:val="24"/>
        </w:rPr>
        <w:t>Proponemos acercarnos</w:t>
      </w:r>
      <w:r>
        <w:rPr>
          <w:rFonts w:ascii="Arial" w:hAnsi="Arial" w:cs="Arial"/>
          <w:sz w:val="24"/>
          <w:szCs w:val="24"/>
        </w:rPr>
        <w:t xml:space="preserve"> </w:t>
      </w:r>
      <w:r w:rsidR="004161DE">
        <w:rPr>
          <w:rFonts w:ascii="Arial" w:hAnsi="Arial" w:cs="Arial"/>
          <w:sz w:val="24"/>
          <w:szCs w:val="24"/>
        </w:rPr>
        <w:t>a</w:t>
      </w:r>
      <w:r w:rsidR="00003BED">
        <w:rPr>
          <w:rFonts w:ascii="Arial" w:hAnsi="Arial" w:cs="Arial"/>
          <w:sz w:val="24"/>
          <w:szCs w:val="24"/>
        </w:rPr>
        <w:t>l</w:t>
      </w:r>
      <w:r>
        <w:rPr>
          <w:rFonts w:ascii="Arial" w:hAnsi="Arial" w:cs="Arial"/>
          <w:sz w:val="24"/>
          <w:szCs w:val="24"/>
        </w:rPr>
        <w:t xml:space="preserve"> pensamiento</w:t>
      </w:r>
      <w:r w:rsidR="00003BED">
        <w:rPr>
          <w:rFonts w:ascii="Arial" w:hAnsi="Arial" w:cs="Arial"/>
          <w:sz w:val="24"/>
          <w:szCs w:val="24"/>
        </w:rPr>
        <w:t xml:space="preserve"> de José Imbelloni</w:t>
      </w:r>
      <w:r w:rsidRPr="00C94CB4">
        <w:rPr>
          <w:rFonts w:ascii="Arial" w:hAnsi="Arial" w:cs="Arial"/>
          <w:sz w:val="24"/>
          <w:szCs w:val="24"/>
        </w:rPr>
        <w:t xml:space="preserve"> </w:t>
      </w:r>
      <w:r w:rsidR="001A5630">
        <w:rPr>
          <w:rFonts w:ascii="Arial" w:hAnsi="Arial" w:cs="Arial"/>
          <w:sz w:val="24"/>
          <w:szCs w:val="24"/>
        </w:rPr>
        <w:t>-</w:t>
      </w:r>
      <w:r w:rsidR="00580FAB">
        <w:rPr>
          <w:rFonts w:ascii="Arial" w:hAnsi="Arial" w:cs="Arial"/>
          <w:sz w:val="24"/>
          <w:szCs w:val="24"/>
        </w:rPr>
        <w:t xml:space="preserve">a través de su obra </w:t>
      </w:r>
      <w:r w:rsidR="00580FAB" w:rsidRPr="00C94CB4">
        <w:rPr>
          <w:rFonts w:ascii="Arial" w:hAnsi="Arial" w:cs="Arial"/>
          <w:i/>
          <w:iCs/>
          <w:sz w:val="24"/>
          <w:szCs w:val="24"/>
        </w:rPr>
        <w:t xml:space="preserve">Epítome de </w:t>
      </w:r>
      <w:r w:rsidR="00557BC7">
        <w:rPr>
          <w:rFonts w:ascii="Arial" w:hAnsi="Arial" w:cs="Arial"/>
          <w:i/>
          <w:iCs/>
          <w:sz w:val="24"/>
          <w:szCs w:val="24"/>
        </w:rPr>
        <w:t>C</w:t>
      </w:r>
      <w:r w:rsidR="00580FAB" w:rsidRPr="00C94CB4">
        <w:rPr>
          <w:rFonts w:ascii="Arial" w:hAnsi="Arial" w:cs="Arial"/>
          <w:i/>
          <w:iCs/>
          <w:sz w:val="24"/>
          <w:szCs w:val="24"/>
        </w:rPr>
        <w:t>ulturología</w:t>
      </w:r>
      <w:r w:rsidR="00580FAB">
        <w:rPr>
          <w:rFonts w:ascii="Arial" w:hAnsi="Arial" w:cs="Arial"/>
          <w:sz w:val="24"/>
          <w:szCs w:val="24"/>
        </w:rPr>
        <w:t xml:space="preserve"> (1936)</w:t>
      </w:r>
      <w:r w:rsidR="001A5630">
        <w:rPr>
          <w:rFonts w:ascii="Arial" w:hAnsi="Arial" w:cs="Arial"/>
          <w:sz w:val="24"/>
          <w:szCs w:val="24"/>
        </w:rPr>
        <w:t>-</w:t>
      </w:r>
      <w:r w:rsidR="00580FAB">
        <w:rPr>
          <w:rFonts w:ascii="Arial" w:hAnsi="Arial" w:cs="Arial"/>
          <w:sz w:val="24"/>
          <w:szCs w:val="24"/>
        </w:rPr>
        <w:t xml:space="preserve"> </w:t>
      </w:r>
      <w:r w:rsidR="0074052D">
        <w:rPr>
          <w:rFonts w:ascii="Arial" w:hAnsi="Arial" w:cs="Arial"/>
          <w:sz w:val="24"/>
          <w:szCs w:val="24"/>
        </w:rPr>
        <w:t>“</w:t>
      </w:r>
      <w:r w:rsidRPr="00C94CB4">
        <w:rPr>
          <w:rFonts w:ascii="Arial" w:hAnsi="Arial" w:cs="Arial"/>
          <w:sz w:val="24"/>
          <w:szCs w:val="24"/>
        </w:rPr>
        <w:t>por</w:t>
      </w:r>
      <w:r>
        <w:rPr>
          <w:rFonts w:ascii="Arial" w:hAnsi="Arial" w:cs="Arial"/>
          <w:sz w:val="24"/>
          <w:szCs w:val="24"/>
        </w:rPr>
        <w:t xml:space="preserve"> </w:t>
      </w:r>
      <w:r w:rsidR="0074052D">
        <w:rPr>
          <w:rFonts w:ascii="Arial" w:hAnsi="Arial" w:cs="Arial"/>
          <w:sz w:val="24"/>
          <w:szCs w:val="24"/>
        </w:rPr>
        <w:t>pertenecer a</w:t>
      </w:r>
      <w:r w:rsidRPr="00C94CB4">
        <w:rPr>
          <w:rFonts w:ascii="Arial" w:hAnsi="Arial" w:cs="Arial"/>
          <w:sz w:val="24"/>
          <w:szCs w:val="24"/>
        </w:rPr>
        <w:t xml:space="preserve">l representante más importante de la Escuela Histórico cultural en la Argentina, y por la gran influencia que ejerció en generaciones de antropólogos e historiadores. </w:t>
      </w:r>
      <w:r>
        <w:rPr>
          <w:rFonts w:ascii="Arial" w:hAnsi="Arial" w:cs="Arial"/>
          <w:sz w:val="24"/>
          <w:szCs w:val="24"/>
        </w:rPr>
        <w:t>Su</w:t>
      </w:r>
      <w:r w:rsidRPr="00C94CB4">
        <w:rPr>
          <w:rFonts w:ascii="Arial" w:hAnsi="Arial" w:cs="Arial"/>
          <w:sz w:val="24"/>
          <w:szCs w:val="24"/>
        </w:rPr>
        <w:t xml:space="preserve"> obra es un compendio del método etnológico. Según palabras del propio Imbelloni "constituyen su nervadura los principios del método histórico cultural (o culturología)</w:t>
      </w:r>
      <w:r w:rsidR="002260D6">
        <w:rPr>
          <w:rFonts w:ascii="Arial" w:hAnsi="Arial" w:cs="Arial"/>
          <w:sz w:val="24"/>
          <w:szCs w:val="24"/>
        </w:rPr>
        <w:t>.” (Rodríguez, 2020</w:t>
      </w:r>
      <w:r w:rsidR="0074052D">
        <w:rPr>
          <w:rFonts w:ascii="Arial" w:hAnsi="Arial" w:cs="Arial"/>
          <w:sz w:val="24"/>
          <w:szCs w:val="24"/>
        </w:rPr>
        <w:t>:6).</w:t>
      </w:r>
      <w:r w:rsidR="00003BED" w:rsidRPr="00003BED">
        <w:rPr>
          <w:rFonts w:ascii="Arial" w:hAnsi="Arial" w:cs="Arial"/>
          <w:sz w:val="24"/>
          <w:szCs w:val="24"/>
        </w:rPr>
        <w:t xml:space="preserve"> </w:t>
      </w:r>
      <w:r w:rsidR="00003BED">
        <w:rPr>
          <w:rFonts w:ascii="Arial" w:hAnsi="Arial" w:cs="Arial"/>
          <w:sz w:val="24"/>
          <w:szCs w:val="24"/>
        </w:rPr>
        <w:t>El modelo histórico-cultural adquiere en Imbelloni rasgos racistas, antimaterialistas e irracionalistas (Garbulsky, 2014; Malhe, 2018).</w:t>
      </w:r>
    </w:p>
    <w:p w14:paraId="2F5DF3CF" w14:textId="6CC3C985" w:rsidR="00036E6A" w:rsidRDefault="002260D6" w:rsidP="002260D6">
      <w:pPr>
        <w:spacing w:after="0" w:line="360" w:lineRule="auto"/>
        <w:jc w:val="both"/>
        <w:rPr>
          <w:rFonts w:ascii="Arial" w:hAnsi="Arial" w:cs="Arial"/>
          <w:sz w:val="24"/>
          <w:szCs w:val="24"/>
        </w:rPr>
      </w:pPr>
      <w:r>
        <w:rPr>
          <w:rFonts w:ascii="Arial" w:hAnsi="Arial" w:cs="Arial"/>
          <w:sz w:val="24"/>
          <w:szCs w:val="24"/>
        </w:rPr>
        <w:tab/>
        <w:t>En los primeros capítulos</w:t>
      </w:r>
      <w:r w:rsidR="00027394">
        <w:rPr>
          <w:rFonts w:ascii="Arial" w:hAnsi="Arial" w:cs="Arial"/>
          <w:sz w:val="24"/>
          <w:szCs w:val="24"/>
        </w:rPr>
        <w:t xml:space="preserve"> del libro</w:t>
      </w:r>
      <w:r>
        <w:rPr>
          <w:rFonts w:ascii="Arial" w:hAnsi="Arial" w:cs="Arial"/>
          <w:sz w:val="24"/>
          <w:szCs w:val="24"/>
        </w:rPr>
        <w:t xml:space="preserve"> -que se desarrollarán en los Trabajos Prácticos- Imbelloni formula una serie de críticas y objeciones a la corriente evolucionista, expone su concepción de la </w:t>
      </w:r>
      <w:r w:rsidRPr="002260D6">
        <w:rPr>
          <w:rFonts w:ascii="Arial" w:hAnsi="Arial" w:cs="Arial"/>
          <w:i/>
          <w:iCs/>
          <w:sz w:val="24"/>
          <w:szCs w:val="24"/>
        </w:rPr>
        <w:t>cultura</w:t>
      </w:r>
      <w:r>
        <w:rPr>
          <w:rFonts w:ascii="Arial" w:hAnsi="Arial" w:cs="Arial"/>
          <w:sz w:val="24"/>
          <w:szCs w:val="24"/>
        </w:rPr>
        <w:t xml:space="preserve">, los </w:t>
      </w:r>
      <w:r w:rsidRPr="002260D6">
        <w:rPr>
          <w:rFonts w:ascii="Arial" w:hAnsi="Arial" w:cs="Arial"/>
          <w:i/>
          <w:iCs/>
          <w:sz w:val="24"/>
          <w:szCs w:val="24"/>
        </w:rPr>
        <w:t>ciclos</w:t>
      </w:r>
      <w:r>
        <w:rPr>
          <w:rFonts w:ascii="Arial" w:hAnsi="Arial" w:cs="Arial"/>
          <w:sz w:val="24"/>
          <w:szCs w:val="24"/>
        </w:rPr>
        <w:t xml:space="preserve"> y los </w:t>
      </w:r>
      <w:r w:rsidRPr="002260D6">
        <w:rPr>
          <w:rFonts w:ascii="Arial" w:hAnsi="Arial" w:cs="Arial"/>
          <w:i/>
          <w:iCs/>
          <w:sz w:val="24"/>
          <w:szCs w:val="24"/>
        </w:rPr>
        <w:t>círculos culturales</w:t>
      </w:r>
      <w:r>
        <w:rPr>
          <w:rFonts w:ascii="Arial" w:hAnsi="Arial" w:cs="Arial"/>
          <w:sz w:val="24"/>
          <w:szCs w:val="24"/>
        </w:rPr>
        <w:t>, y presenta el método</w:t>
      </w:r>
      <w:r w:rsidR="007810AC">
        <w:rPr>
          <w:rFonts w:ascii="Arial" w:hAnsi="Arial" w:cs="Arial"/>
          <w:sz w:val="24"/>
          <w:szCs w:val="24"/>
        </w:rPr>
        <w:t xml:space="preserve"> cartográfico y los criterios para las comparaciones entre culturas.</w:t>
      </w:r>
    </w:p>
    <w:p w14:paraId="201C0C69" w14:textId="77777777" w:rsidR="002260D6" w:rsidRDefault="002260D6" w:rsidP="002260D6">
      <w:pPr>
        <w:spacing w:after="0" w:line="360" w:lineRule="auto"/>
        <w:jc w:val="both"/>
        <w:rPr>
          <w:rFonts w:ascii="Arial" w:hAnsi="Arial" w:cs="Arial"/>
          <w:sz w:val="24"/>
          <w:szCs w:val="24"/>
        </w:rPr>
      </w:pPr>
    </w:p>
    <w:p w14:paraId="08569F35" w14:textId="3C9CA90A" w:rsidR="00B21BA9" w:rsidRPr="00D735BD" w:rsidRDefault="00B21BA9" w:rsidP="002A7E80">
      <w:pPr>
        <w:spacing w:after="0"/>
        <w:ind w:left="709" w:hanging="709"/>
        <w:jc w:val="both"/>
        <w:rPr>
          <w:rFonts w:ascii="Arial" w:hAnsi="Arial" w:cs="Arial"/>
          <w:sz w:val="20"/>
          <w:szCs w:val="20"/>
        </w:rPr>
      </w:pPr>
      <w:r w:rsidRPr="00D735BD">
        <w:rPr>
          <w:rFonts w:ascii="Arial" w:hAnsi="Arial" w:cs="Arial"/>
          <w:sz w:val="20"/>
          <w:szCs w:val="20"/>
        </w:rPr>
        <w:t>Bibliografía</w:t>
      </w:r>
    </w:p>
    <w:p w14:paraId="580919BA" w14:textId="702CE808" w:rsidR="00692CDE" w:rsidRDefault="00D735BD" w:rsidP="002A7E80">
      <w:pPr>
        <w:spacing w:after="0"/>
        <w:ind w:left="709" w:hanging="709"/>
        <w:jc w:val="both"/>
      </w:pPr>
      <w:r>
        <w:rPr>
          <w:rFonts w:ascii="Arial" w:hAnsi="Arial" w:cs="Arial"/>
          <w:sz w:val="20"/>
          <w:szCs w:val="20"/>
        </w:rPr>
        <w:t xml:space="preserve">Arcella, Luciano. 2016. “Más allá de Occidente. Frankfurt, entre la antropología e historia cultural”. </w:t>
      </w:r>
      <w:r w:rsidRPr="00D735BD">
        <w:rPr>
          <w:rFonts w:ascii="Arial" w:hAnsi="Arial" w:cs="Arial"/>
          <w:i/>
          <w:iCs/>
          <w:sz w:val="20"/>
          <w:szCs w:val="20"/>
        </w:rPr>
        <w:t>Universitas Philosophica</w:t>
      </w:r>
      <w:r>
        <w:rPr>
          <w:rFonts w:ascii="Arial" w:hAnsi="Arial" w:cs="Arial"/>
          <w:sz w:val="20"/>
          <w:szCs w:val="20"/>
        </w:rPr>
        <w:t>. Nº 66, año 33</w:t>
      </w:r>
      <w:r w:rsidR="00692CDE">
        <w:rPr>
          <w:rFonts w:ascii="Arial" w:hAnsi="Arial" w:cs="Arial"/>
          <w:sz w:val="20"/>
          <w:szCs w:val="20"/>
        </w:rPr>
        <w:t>, pp. 217-236.</w:t>
      </w:r>
      <w:r w:rsidR="00692CDE" w:rsidRPr="00692CDE">
        <w:t xml:space="preserve"> </w:t>
      </w:r>
      <w:hyperlink r:id="rId16" w:history="1">
        <w:r w:rsidR="00692CDE" w:rsidRPr="0054769E">
          <w:rPr>
            <w:rStyle w:val="Hipervnculo"/>
          </w:rPr>
          <w:t>http://www.scielo.org.co/pdf/unph/v33n66/v33n66a18.pdf</w:t>
        </w:r>
      </w:hyperlink>
    </w:p>
    <w:p w14:paraId="3A232A0C" w14:textId="3B06FFC8" w:rsidR="00D735BD" w:rsidRPr="00D735BD" w:rsidRDefault="003A6AF6" w:rsidP="002A7E80">
      <w:pPr>
        <w:spacing w:after="0"/>
        <w:ind w:left="709" w:hanging="709"/>
        <w:jc w:val="both"/>
        <w:rPr>
          <w:rFonts w:ascii="Arial" w:hAnsi="Arial" w:cs="Arial"/>
          <w:sz w:val="20"/>
          <w:szCs w:val="20"/>
        </w:rPr>
      </w:pPr>
      <w:r w:rsidRPr="00D735BD">
        <w:rPr>
          <w:rFonts w:ascii="Arial" w:hAnsi="Arial" w:cs="Arial"/>
          <w:sz w:val="20"/>
          <w:szCs w:val="20"/>
        </w:rPr>
        <w:t>Garbulsky, Edgardo.</w:t>
      </w:r>
      <w:r w:rsidR="00D735BD" w:rsidRPr="00D735BD">
        <w:rPr>
          <w:rFonts w:ascii="Arial" w:hAnsi="Arial" w:cs="Arial"/>
          <w:sz w:val="20"/>
          <w:szCs w:val="20"/>
        </w:rPr>
        <w:t>1990. (mimeo) “Elementos adicionales para complementar el texto de A. Ramos, en relación al pensamiento de Leo Frobenius”. Material de circulación interna de la Cátedra Corrientes Antropológicas I.</w:t>
      </w:r>
    </w:p>
    <w:p w14:paraId="225BDDD3" w14:textId="1927CCE5" w:rsidR="003A6AF6" w:rsidRPr="00D735BD" w:rsidRDefault="00D735BD" w:rsidP="002A7E80">
      <w:pPr>
        <w:spacing w:after="0"/>
        <w:ind w:left="709" w:hanging="709"/>
        <w:jc w:val="both"/>
        <w:rPr>
          <w:rFonts w:ascii="Arial" w:hAnsi="Arial" w:cs="Arial"/>
          <w:sz w:val="20"/>
          <w:szCs w:val="20"/>
        </w:rPr>
      </w:pPr>
      <w:r w:rsidRPr="00D735BD">
        <w:rPr>
          <w:rFonts w:ascii="Arial" w:hAnsi="Arial" w:cs="Arial"/>
          <w:sz w:val="20"/>
          <w:szCs w:val="20"/>
        </w:rPr>
        <w:t>----------------------------</w:t>
      </w:r>
      <w:r w:rsidR="003A6AF6" w:rsidRPr="00D735BD">
        <w:rPr>
          <w:rFonts w:ascii="Arial" w:hAnsi="Arial" w:cs="Arial"/>
          <w:sz w:val="20"/>
          <w:szCs w:val="20"/>
        </w:rPr>
        <w:t xml:space="preserve">2014. “Historia de la Antropología en la Argentina”. En. Sanchez, Silvana (comp.) </w:t>
      </w:r>
      <w:r w:rsidR="003A6AF6" w:rsidRPr="00D735BD">
        <w:rPr>
          <w:rFonts w:ascii="Arial" w:hAnsi="Arial" w:cs="Arial"/>
          <w:i/>
          <w:iCs/>
          <w:sz w:val="20"/>
          <w:szCs w:val="20"/>
        </w:rPr>
        <w:t>Edgardo Garbulsky. Antropología crítica</w:t>
      </w:r>
      <w:r w:rsidR="003A6AF6" w:rsidRPr="00D735BD">
        <w:rPr>
          <w:rFonts w:ascii="Arial" w:hAnsi="Arial" w:cs="Arial"/>
          <w:sz w:val="20"/>
          <w:szCs w:val="20"/>
        </w:rPr>
        <w:t xml:space="preserve">. </w:t>
      </w:r>
      <w:r w:rsidR="002A7E80" w:rsidRPr="00D735BD">
        <w:rPr>
          <w:rFonts w:ascii="Arial" w:hAnsi="Arial" w:cs="Arial"/>
          <w:sz w:val="20"/>
          <w:szCs w:val="20"/>
        </w:rPr>
        <w:t xml:space="preserve">Rosario. </w:t>
      </w:r>
      <w:r w:rsidR="003A6AF6" w:rsidRPr="00D735BD">
        <w:rPr>
          <w:rFonts w:ascii="Arial" w:hAnsi="Arial" w:cs="Arial"/>
          <w:sz w:val="20"/>
          <w:szCs w:val="20"/>
        </w:rPr>
        <w:t>Laborde Editor</w:t>
      </w:r>
      <w:r w:rsidR="002A7E80" w:rsidRPr="00D735BD">
        <w:rPr>
          <w:rFonts w:ascii="Arial" w:hAnsi="Arial" w:cs="Arial"/>
          <w:sz w:val="20"/>
          <w:szCs w:val="20"/>
        </w:rPr>
        <w:t>.</w:t>
      </w:r>
    </w:p>
    <w:p w14:paraId="0EFEFFF8" w14:textId="5C222588" w:rsidR="002260D6" w:rsidRDefault="002260D6" w:rsidP="006F573A">
      <w:pPr>
        <w:spacing w:after="0" w:line="240" w:lineRule="auto"/>
        <w:ind w:left="709" w:hanging="709"/>
        <w:jc w:val="both"/>
        <w:rPr>
          <w:rFonts w:ascii="Arial" w:hAnsi="Arial" w:cs="Arial"/>
          <w:snapToGrid w:val="0"/>
          <w:sz w:val="20"/>
          <w:szCs w:val="20"/>
        </w:rPr>
      </w:pPr>
      <w:r w:rsidRPr="00D735BD">
        <w:rPr>
          <w:rFonts w:ascii="Arial" w:hAnsi="Arial" w:cs="Arial"/>
          <w:sz w:val="20"/>
          <w:szCs w:val="20"/>
        </w:rPr>
        <w:t>Harris, Marvin. 1968.</w:t>
      </w:r>
      <w:r w:rsidR="006F573A" w:rsidRPr="00D735BD">
        <w:rPr>
          <w:rFonts w:ascii="Arial" w:hAnsi="Arial" w:cs="Arial"/>
          <w:snapToGrid w:val="0"/>
          <w:sz w:val="20"/>
          <w:szCs w:val="20"/>
        </w:rPr>
        <w:t xml:space="preserve"> </w:t>
      </w:r>
      <w:r w:rsidR="006F573A" w:rsidRPr="00D735BD">
        <w:rPr>
          <w:rFonts w:ascii="Arial" w:hAnsi="Arial" w:cs="Arial"/>
          <w:i/>
          <w:snapToGrid w:val="0"/>
          <w:sz w:val="20"/>
          <w:szCs w:val="20"/>
        </w:rPr>
        <w:t>El desarrollo de la teoría antropológica. Historia de las teorías de la cultura</w:t>
      </w:r>
      <w:r w:rsidR="006F573A" w:rsidRPr="00D735BD">
        <w:rPr>
          <w:rFonts w:ascii="Arial" w:hAnsi="Arial" w:cs="Arial"/>
          <w:snapToGrid w:val="0"/>
          <w:sz w:val="20"/>
          <w:szCs w:val="20"/>
        </w:rPr>
        <w:t>, Madrid, Siglo veintiuno editores.</w:t>
      </w:r>
    </w:p>
    <w:p w14:paraId="232D41DC" w14:textId="682C0182" w:rsidR="00155CBC" w:rsidRPr="00D735BD" w:rsidRDefault="00155CBC" w:rsidP="006F573A">
      <w:pPr>
        <w:spacing w:after="0" w:line="240" w:lineRule="auto"/>
        <w:ind w:left="709" w:hanging="709"/>
        <w:jc w:val="both"/>
        <w:rPr>
          <w:rFonts w:ascii="Arial" w:hAnsi="Arial" w:cs="Arial"/>
          <w:snapToGrid w:val="0"/>
          <w:sz w:val="20"/>
          <w:szCs w:val="20"/>
        </w:rPr>
      </w:pPr>
      <w:r>
        <w:rPr>
          <w:rFonts w:ascii="Arial" w:hAnsi="Arial" w:cs="Arial"/>
          <w:snapToGrid w:val="0"/>
          <w:sz w:val="20"/>
          <w:szCs w:val="20"/>
        </w:rPr>
        <w:t xml:space="preserve">Hobsbawm, Eric. 2009. </w:t>
      </w:r>
      <w:r w:rsidRPr="00916DF2">
        <w:rPr>
          <w:rFonts w:ascii="Arial" w:hAnsi="Arial" w:cs="Arial"/>
          <w:i/>
          <w:iCs/>
          <w:snapToGrid w:val="0"/>
          <w:sz w:val="20"/>
          <w:szCs w:val="20"/>
        </w:rPr>
        <w:t>La era del imperio</w:t>
      </w:r>
      <w:r>
        <w:rPr>
          <w:rFonts w:ascii="Arial" w:hAnsi="Arial" w:cs="Arial"/>
          <w:snapToGrid w:val="0"/>
          <w:sz w:val="20"/>
          <w:szCs w:val="20"/>
        </w:rPr>
        <w:t xml:space="preserve">. 1875-1914. Buenos Aires. </w:t>
      </w:r>
      <w:r w:rsidR="00916DF2">
        <w:rPr>
          <w:rFonts w:ascii="Arial" w:hAnsi="Arial" w:cs="Arial"/>
          <w:snapToGrid w:val="0"/>
          <w:sz w:val="20"/>
          <w:szCs w:val="20"/>
        </w:rPr>
        <w:t xml:space="preserve">Ed. </w:t>
      </w:r>
      <w:r>
        <w:rPr>
          <w:rFonts w:ascii="Arial" w:hAnsi="Arial" w:cs="Arial"/>
          <w:snapToGrid w:val="0"/>
          <w:sz w:val="20"/>
          <w:szCs w:val="20"/>
        </w:rPr>
        <w:t>Crítica.</w:t>
      </w:r>
    </w:p>
    <w:p w14:paraId="610DA8AA" w14:textId="35AEBF67" w:rsidR="00B21BA9" w:rsidRPr="00D735BD" w:rsidRDefault="00B21BA9" w:rsidP="002A7E80">
      <w:pPr>
        <w:spacing w:after="0"/>
        <w:ind w:left="709" w:hanging="709"/>
        <w:jc w:val="both"/>
        <w:rPr>
          <w:rFonts w:ascii="Arial" w:hAnsi="Arial" w:cs="Arial"/>
          <w:sz w:val="20"/>
          <w:szCs w:val="20"/>
        </w:rPr>
      </w:pPr>
      <w:r w:rsidRPr="00D735BD">
        <w:rPr>
          <w:rFonts w:ascii="Arial" w:hAnsi="Arial" w:cs="Arial"/>
          <w:sz w:val="20"/>
          <w:szCs w:val="20"/>
        </w:rPr>
        <w:t>Lisón Tolosana, Carmelo. 1971. “Difusión y evolución: estado de la cuestión en Antropología”</w:t>
      </w:r>
      <w:r w:rsidR="00C3687C" w:rsidRPr="00D735BD">
        <w:rPr>
          <w:rFonts w:ascii="Arial" w:hAnsi="Arial" w:cs="Arial"/>
          <w:sz w:val="20"/>
          <w:szCs w:val="20"/>
        </w:rPr>
        <w:t xml:space="preserve">. </w:t>
      </w:r>
      <w:r w:rsidR="00C3687C" w:rsidRPr="00557BC7">
        <w:rPr>
          <w:rFonts w:ascii="Arial" w:hAnsi="Arial" w:cs="Arial"/>
          <w:i/>
          <w:iCs/>
          <w:sz w:val="20"/>
          <w:szCs w:val="20"/>
        </w:rPr>
        <w:t>Anuario de estudios atlánticos</w:t>
      </w:r>
      <w:r w:rsidR="00C3687C" w:rsidRPr="00D735BD">
        <w:rPr>
          <w:rFonts w:ascii="Arial" w:hAnsi="Arial" w:cs="Arial"/>
          <w:sz w:val="20"/>
          <w:szCs w:val="20"/>
        </w:rPr>
        <w:t>. Nº 17.</w:t>
      </w:r>
    </w:p>
    <w:p w14:paraId="63B4118A" w14:textId="77777777" w:rsidR="002A7E80" w:rsidRPr="00D735BD" w:rsidRDefault="00247592" w:rsidP="002A7E80">
      <w:pPr>
        <w:pStyle w:val="art-title"/>
        <w:shd w:val="clear" w:color="auto" w:fill="FFFFFF"/>
        <w:spacing w:before="0" w:beforeAutospacing="0" w:after="0" w:afterAutospacing="0"/>
        <w:ind w:left="709" w:hanging="709"/>
        <w:jc w:val="both"/>
        <w:rPr>
          <w:rStyle w:val="year"/>
          <w:rFonts w:ascii="Arial" w:hAnsi="Arial" w:cs="Arial"/>
          <w:color w:val="777777"/>
          <w:sz w:val="20"/>
          <w:szCs w:val="20"/>
        </w:rPr>
      </w:pPr>
      <w:r w:rsidRPr="00D735BD">
        <w:rPr>
          <w:rFonts w:ascii="Arial" w:hAnsi="Arial" w:cs="Arial"/>
          <w:sz w:val="20"/>
          <w:szCs w:val="20"/>
        </w:rPr>
        <w:t>Malhe, Alejandra. 2018. “</w:t>
      </w:r>
      <w:r w:rsidRPr="00D735BD">
        <w:rPr>
          <w:rFonts w:ascii="Arial" w:hAnsi="Arial" w:cs="Arial"/>
          <w:color w:val="777777"/>
          <w:sz w:val="20"/>
          <w:szCs w:val="20"/>
        </w:rPr>
        <w:t xml:space="preserve">José Imbelloni y la formación de un lectorado americanista”. </w:t>
      </w:r>
      <w:r w:rsidRPr="00D735BD">
        <w:rPr>
          <w:rStyle w:val="journal"/>
          <w:rFonts w:ascii="Arial" w:hAnsi="Arial" w:cs="Arial"/>
          <w:i/>
          <w:iCs/>
          <w:color w:val="777777"/>
          <w:sz w:val="20"/>
          <w:szCs w:val="20"/>
        </w:rPr>
        <w:t>Prismas</w:t>
      </w:r>
      <w:r w:rsidRPr="00D735BD">
        <w:rPr>
          <w:rStyle w:val="volume"/>
          <w:rFonts w:ascii="Arial" w:hAnsi="Arial" w:cs="Arial"/>
          <w:i/>
          <w:iCs/>
          <w:color w:val="777777"/>
          <w:sz w:val="20"/>
          <w:szCs w:val="20"/>
        </w:rPr>
        <w:t>,</w:t>
      </w:r>
      <w:r w:rsidRPr="00D735BD">
        <w:rPr>
          <w:rStyle w:val="volume"/>
          <w:rFonts w:ascii="Arial" w:hAnsi="Arial" w:cs="Arial"/>
          <w:color w:val="777777"/>
          <w:sz w:val="20"/>
          <w:szCs w:val="20"/>
        </w:rPr>
        <w:t xml:space="preserve"> vol. 22</w:t>
      </w:r>
      <w:r w:rsidRPr="00D735BD">
        <w:rPr>
          <w:rStyle w:val="issue"/>
          <w:rFonts w:ascii="Arial" w:hAnsi="Arial" w:cs="Arial"/>
          <w:color w:val="777777"/>
          <w:sz w:val="20"/>
          <w:szCs w:val="20"/>
        </w:rPr>
        <w:t>, núm. 1</w:t>
      </w:r>
      <w:r w:rsidRPr="00D735BD">
        <w:rPr>
          <w:rFonts w:ascii="Arial" w:hAnsi="Arial" w:cs="Arial"/>
          <w:color w:val="777777"/>
          <w:sz w:val="20"/>
          <w:szCs w:val="20"/>
        </w:rPr>
        <w:t>, pp. 75-95</w:t>
      </w:r>
      <w:r w:rsidRPr="00D735BD">
        <w:rPr>
          <w:rStyle w:val="year"/>
          <w:rFonts w:ascii="Arial" w:hAnsi="Arial" w:cs="Arial"/>
          <w:color w:val="777777"/>
          <w:sz w:val="20"/>
          <w:szCs w:val="20"/>
        </w:rPr>
        <w:t xml:space="preserve">, </w:t>
      </w:r>
    </w:p>
    <w:p w14:paraId="3A7DCBE9" w14:textId="66EF3CEA" w:rsidR="00247592" w:rsidRPr="00D735BD" w:rsidRDefault="00000000" w:rsidP="002A7E80">
      <w:pPr>
        <w:pStyle w:val="art-title"/>
        <w:shd w:val="clear" w:color="auto" w:fill="FFFFFF"/>
        <w:spacing w:before="0" w:beforeAutospacing="0" w:after="0" w:afterAutospacing="0"/>
        <w:ind w:left="1417" w:hanging="709"/>
        <w:jc w:val="both"/>
        <w:rPr>
          <w:rStyle w:val="year"/>
          <w:rFonts w:ascii="Arial" w:hAnsi="Arial" w:cs="Arial"/>
          <w:color w:val="777777"/>
          <w:sz w:val="20"/>
          <w:szCs w:val="20"/>
        </w:rPr>
      </w:pPr>
      <w:hyperlink r:id="rId17" w:history="1">
        <w:r w:rsidR="002A7E80" w:rsidRPr="00D735BD">
          <w:rPr>
            <w:rStyle w:val="Hipervnculo"/>
            <w:rFonts w:ascii="Arial" w:hAnsi="Arial" w:cs="Arial"/>
            <w:sz w:val="20"/>
            <w:szCs w:val="20"/>
          </w:rPr>
          <w:t>https://www.redalyc.org/jatsRepo/3870/387059364004/html/index.html</w:t>
        </w:r>
      </w:hyperlink>
    </w:p>
    <w:p w14:paraId="67956AC7" w14:textId="1A7E4880" w:rsidR="00AB6A7A" w:rsidRPr="00D735BD" w:rsidRDefault="00AB6A7A" w:rsidP="002A7E80">
      <w:pPr>
        <w:spacing w:after="0"/>
        <w:ind w:left="709" w:hanging="709"/>
        <w:jc w:val="both"/>
        <w:rPr>
          <w:rFonts w:ascii="Arial" w:hAnsi="Arial" w:cs="Arial"/>
          <w:sz w:val="20"/>
          <w:szCs w:val="20"/>
        </w:rPr>
      </w:pPr>
      <w:r w:rsidRPr="00D735BD">
        <w:rPr>
          <w:rFonts w:ascii="Arial" w:hAnsi="Arial" w:cs="Arial"/>
          <w:sz w:val="20"/>
          <w:szCs w:val="20"/>
        </w:rPr>
        <w:t>Palerm, Ángel.1997</w:t>
      </w:r>
      <w:r w:rsidRPr="00D735BD">
        <w:rPr>
          <w:rFonts w:ascii="Arial" w:hAnsi="Arial" w:cs="Arial"/>
          <w:i/>
          <w:iCs/>
          <w:sz w:val="20"/>
          <w:szCs w:val="20"/>
        </w:rPr>
        <w:t>.  Introducción a la teoría etnológica</w:t>
      </w:r>
      <w:r w:rsidRPr="00D735BD">
        <w:rPr>
          <w:rFonts w:ascii="Arial" w:hAnsi="Arial" w:cs="Arial"/>
          <w:sz w:val="20"/>
          <w:szCs w:val="20"/>
        </w:rPr>
        <w:t>: treinta lecciones. México. Universidad Iberoamericana.</w:t>
      </w:r>
    </w:p>
    <w:p w14:paraId="79B00C12" w14:textId="05CE7797" w:rsidR="001B48F5" w:rsidRDefault="001B48F5" w:rsidP="002A7E80">
      <w:pPr>
        <w:spacing w:after="0"/>
        <w:ind w:left="709" w:hanging="709"/>
        <w:jc w:val="both"/>
        <w:rPr>
          <w:rFonts w:ascii="Arial" w:hAnsi="Arial" w:cs="Arial"/>
          <w:sz w:val="20"/>
          <w:szCs w:val="20"/>
        </w:rPr>
      </w:pPr>
      <w:r w:rsidRPr="00D735BD">
        <w:rPr>
          <w:rFonts w:ascii="Arial" w:hAnsi="Arial" w:cs="Arial"/>
          <w:sz w:val="20"/>
          <w:szCs w:val="20"/>
        </w:rPr>
        <w:t xml:space="preserve">Ramos, Arthur.1943. </w:t>
      </w:r>
      <w:r w:rsidRPr="00D735BD">
        <w:rPr>
          <w:rFonts w:ascii="Arial" w:hAnsi="Arial" w:cs="Arial"/>
          <w:i/>
          <w:iCs/>
          <w:sz w:val="20"/>
          <w:szCs w:val="20"/>
        </w:rPr>
        <w:t>Las culturas negras del nuevo mundo</w:t>
      </w:r>
      <w:r w:rsidRPr="00D735BD">
        <w:rPr>
          <w:rFonts w:ascii="Arial" w:hAnsi="Arial" w:cs="Arial"/>
          <w:sz w:val="20"/>
          <w:szCs w:val="20"/>
        </w:rPr>
        <w:t>, México, FCE.</w:t>
      </w:r>
    </w:p>
    <w:p w14:paraId="5CCE98EC" w14:textId="1246DF96" w:rsidR="00692CDE" w:rsidRDefault="00C066A0" w:rsidP="002A7E80">
      <w:pPr>
        <w:spacing w:after="0"/>
        <w:ind w:left="709" w:hanging="709"/>
        <w:jc w:val="both"/>
        <w:rPr>
          <w:rFonts w:ascii="Arial" w:hAnsi="Arial" w:cs="Arial"/>
        </w:rPr>
      </w:pPr>
      <w:r w:rsidRPr="00C066A0">
        <w:rPr>
          <w:rFonts w:ascii="Arial" w:hAnsi="Arial" w:cs="Arial"/>
          <w:sz w:val="20"/>
          <w:szCs w:val="20"/>
        </w:rPr>
        <w:lastRenderedPageBreak/>
        <w:t>Ratier, H</w:t>
      </w:r>
      <w:r>
        <w:rPr>
          <w:rFonts w:ascii="Arial" w:hAnsi="Arial" w:cs="Arial"/>
          <w:sz w:val="20"/>
          <w:szCs w:val="20"/>
        </w:rPr>
        <w:t>ugo.</w:t>
      </w:r>
      <w:r w:rsidRPr="00C066A0">
        <w:rPr>
          <w:rFonts w:ascii="Arial" w:hAnsi="Arial" w:cs="Arial"/>
          <w:sz w:val="20"/>
          <w:szCs w:val="20"/>
        </w:rPr>
        <w:t xml:space="preserve"> 201</w:t>
      </w:r>
      <w:r>
        <w:rPr>
          <w:rFonts w:ascii="Arial" w:hAnsi="Arial" w:cs="Arial"/>
          <w:sz w:val="20"/>
          <w:szCs w:val="20"/>
        </w:rPr>
        <w:t>0.</w:t>
      </w:r>
      <w:r w:rsidRPr="00C066A0">
        <w:rPr>
          <w:rFonts w:ascii="Arial" w:hAnsi="Arial" w:cs="Arial"/>
          <w:sz w:val="20"/>
          <w:szCs w:val="20"/>
        </w:rPr>
        <w:t xml:space="preserve"> “La Antropología social en Argentina”</w:t>
      </w:r>
      <w:r w:rsidR="00447555">
        <w:rPr>
          <w:rFonts w:ascii="Arial" w:hAnsi="Arial" w:cs="Arial"/>
          <w:sz w:val="20"/>
          <w:szCs w:val="20"/>
        </w:rPr>
        <w:t xml:space="preserve">. </w:t>
      </w:r>
      <w:r w:rsidR="00447555" w:rsidRPr="00447555">
        <w:rPr>
          <w:rFonts w:ascii="Arial" w:hAnsi="Arial" w:cs="Arial"/>
        </w:rPr>
        <w:t>PUBLICAR - Año VIII N</w:t>
      </w:r>
      <w:r w:rsidR="00447555">
        <w:rPr>
          <w:rFonts w:ascii="Arial" w:hAnsi="Arial" w:cs="Arial"/>
        </w:rPr>
        <w:t xml:space="preserve">º IX. </w:t>
      </w:r>
      <w:hyperlink r:id="rId18" w:history="1">
        <w:r w:rsidR="00447555" w:rsidRPr="00062DF2">
          <w:rPr>
            <w:rStyle w:val="Hipervnculo"/>
            <w:rFonts w:ascii="Arial" w:hAnsi="Arial" w:cs="Arial"/>
          </w:rPr>
          <w:t>https://www.bfa.fcnym.unlp.edu.ar/catalogo/doc_num.php?explnum_id=1819</w:t>
        </w:r>
      </w:hyperlink>
    </w:p>
    <w:p w14:paraId="6EE91B28" w14:textId="684A7215" w:rsidR="00711AA4" w:rsidRPr="00D735BD" w:rsidRDefault="00711AA4" w:rsidP="002A7E80">
      <w:pPr>
        <w:spacing w:after="0"/>
        <w:ind w:left="709" w:hanging="709"/>
        <w:jc w:val="both"/>
        <w:rPr>
          <w:rFonts w:ascii="Arial" w:hAnsi="Arial" w:cs="Arial"/>
          <w:sz w:val="20"/>
          <w:szCs w:val="20"/>
        </w:rPr>
      </w:pPr>
      <w:r w:rsidRPr="00D735BD">
        <w:rPr>
          <w:rFonts w:ascii="Arial" w:hAnsi="Arial" w:cs="Arial"/>
          <w:sz w:val="20"/>
          <w:szCs w:val="20"/>
        </w:rPr>
        <w:t xml:space="preserve">Rodríguez, Gloria. 2020. </w:t>
      </w:r>
      <w:r w:rsidR="002A7E80" w:rsidRPr="00D735BD">
        <w:rPr>
          <w:rFonts w:ascii="Arial" w:hAnsi="Arial" w:cs="Arial"/>
          <w:sz w:val="20"/>
          <w:szCs w:val="20"/>
        </w:rPr>
        <w:t>“</w:t>
      </w:r>
      <w:r w:rsidRPr="00D735BD">
        <w:rPr>
          <w:rFonts w:ascii="Arial" w:hAnsi="Arial" w:cs="Arial"/>
          <w:sz w:val="20"/>
          <w:szCs w:val="20"/>
        </w:rPr>
        <w:t>Consideraciones acerca de la Escuela histórico-cultural: antecedentes e influencias</w:t>
      </w:r>
      <w:r w:rsidR="002A7E80" w:rsidRPr="00D735BD">
        <w:rPr>
          <w:rFonts w:ascii="Arial" w:hAnsi="Arial" w:cs="Arial"/>
          <w:sz w:val="20"/>
          <w:szCs w:val="20"/>
        </w:rPr>
        <w:t>”</w:t>
      </w:r>
      <w:r w:rsidRPr="00D735BD">
        <w:rPr>
          <w:rFonts w:ascii="Arial" w:hAnsi="Arial" w:cs="Arial"/>
          <w:sz w:val="20"/>
          <w:szCs w:val="20"/>
        </w:rPr>
        <w:t>. Material de circulación interna Cátedra Corrientes Antropológicas I.</w:t>
      </w:r>
    </w:p>
    <w:sectPr w:rsidR="00711AA4" w:rsidRPr="00D735BD">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DBF36" w14:textId="77777777" w:rsidR="00D55E6C" w:rsidRDefault="00D55E6C" w:rsidP="00B84237">
      <w:pPr>
        <w:spacing w:after="0" w:line="240" w:lineRule="auto"/>
      </w:pPr>
      <w:r>
        <w:separator/>
      </w:r>
    </w:p>
  </w:endnote>
  <w:endnote w:type="continuationSeparator" w:id="0">
    <w:p w14:paraId="643346F8" w14:textId="77777777" w:rsidR="00D55E6C" w:rsidRDefault="00D55E6C" w:rsidP="00B8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60753"/>
      <w:docPartObj>
        <w:docPartGallery w:val="Page Numbers (Bottom of Page)"/>
        <w:docPartUnique/>
      </w:docPartObj>
    </w:sdtPr>
    <w:sdtContent>
      <w:p w14:paraId="45BF15F3" w14:textId="73E9BB33" w:rsidR="00B84237" w:rsidRDefault="00B84237">
        <w:pPr>
          <w:pStyle w:val="Piedepgina"/>
          <w:jc w:val="center"/>
        </w:pPr>
        <w:r>
          <w:rPr>
            <w:noProof/>
          </w:rPr>
          <mc:AlternateContent>
            <mc:Choice Requires="wpg">
              <w:drawing>
                <wp:inline distT="0" distB="0" distL="0" distR="0" wp14:anchorId="7524684F" wp14:editId="457DD427">
                  <wp:extent cx="418465" cy="221615"/>
                  <wp:effectExtent l="0" t="0" r="635" b="0"/>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C3A23" w14:textId="77777777" w:rsidR="00B84237" w:rsidRDefault="00B84237">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wps:txbx>
                          <wps:bodyPr rot="0" vert="horz" wrap="square" lIns="0" tIns="0" rIns="0" bIns="0" anchor="ctr" anchorCtr="0" upright="1">
                            <a:noAutofit/>
                          </wps:bodyPr>
                        </wps:wsp>
                        <wpg:grpSp>
                          <wpg:cNvPr id="6" name="Group 64"/>
                          <wpg:cNvGrpSpPr>
                            <a:grpSpLocks/>
                          </wpg:cNvGrpSpPr>
                          <wpg:grpSpPr bwMode="auto">
                            <a:xfrm>
                              <a:off x="5494" y="739"/>
                              <a:ext cx="372" cy="72"/>
                              <a:chOff x="5486" y="739"/>
                              <a:chExt cx="372" cy="72"/>
                            </a:xfrm>
                          </wpg:grpSpPr>
                          <wps:wsp>
                            <wps:cNvPr id="7"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7524684F" id="Grupo 4"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2nFuqIwMAAMsMAAAOAAAA&#10;AAAAAAAAAAAAAC4CAABkcnMvZTJvRG9jLnhtbFBLAQItABQABgAIAAAAIQCwlh0X3AAAAAMBAAAP&#10;AAAAAAAAAAAAAAAAAH0FAABkcnMvZG93bnJldi54bWxQSwUGAAAAAAQABADzAAAAhg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122C3A23" w14:textId="77777777" w:rsidR="00B84237" w:rsidRDefault="00B84237">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" fillcolor="#84a2c6" stroked="f"/>
                  </v:group>
                  <w10:anchorlock/>
                </v:group>
              </w:pict>
            </mc:Fallback>
          </mc:AlternateContent>
        </w:r>
      </w:p>
    </w:sdtContent>
  </w:sdt>
  <w:p w14:paraId="0998F4D7" w14:textId="48CFEED9" w:rsidR="00B84237" w:rsidRDefault="00B842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9D975" w14:textId="77777777" w:rsidR="00D55E6C" w:rsidRDefault="00D55E6C" w:rsidP="00B84237">
      <w:pPr>
        <w:spacing w:after="0" w:line="240" w:lineRule="auto"/>
      </w:pPr>
      <w:r>
        <w:separator/>
      </w:r>
    </w:p>
  </w:footnote>
  <w:footnote w:type="continuationSeparator" w:id="0">
    <w:p w14:paraId="1D523060" w14:textId="77777777" w:rsidR="00D55E6C" w:rsidRDefault="00D55E6C" w:rsidP="00B84237">
      <w:pPr>
        <w:spacing w:after="0" w:line="240" w:lineRule="auto"/>
      </w:pPr>
      <w:r>
        <w:continuationSeparator/>
      </w:r>
    </w:p>
  </w:footnote>
  <w:footnote w:id="1">
    <w:p w14:paraId="705B4B10" w14:textId="3AC5F707" w:rsidR="00E863D6" w:rsidRPr="00E863D6" w:rsidRDefault="00E863D6" w:rsidP="00E863D6">
      <w:pPr>
        <w:pStyle w:val="Textonotapie"/>
      </w:pPr>
      <w:r>
        <w:rPr>
          <w:rStyle w:val="Refdenotaalpie"/>
        </w:rPr>
        <w:footnoteRef/>
      </w:r>
      <w:r>
        <w:t xml:space="preserve"> El antropólogo alemán </w:t>
      </w:r>
      <w:r w:rsidRPr="00E863D6">
        <w:rPr>
          <w:b/>
          <w:bCs/>
        </w:rPr>
        <w:t>Adolf Bastian</w:t>
      </w:r>
      <w:r w:rsidRPr="00E863D6">
        <w:t xml:space="preserve"> (1826-1905)</w:t>
      </w:r>
      <w:r>
        <w:t xml:space="preserve">, partidario de un desarrollo evolutivo de la humanidad, también contribuyó a dar </w:t>
      </w:r>
      <w:r w:rsidR="00A66307">
        <w:t>estímulo a los enfoques difusionistas. Y</w:t>
      </w:r>
      <w:r w:rsidRPr="00E863D6">
        <w:t>a nos hemos referido</w:t>
      </w:r>
      <w:r w:rsidR="00A62E1C">
        <w:t xml:space="preserve"> a</w:t>
      </w:r>
      <w:r w:rsidRPr="00E863D6">
        <w:t xml:space="preserve"> su formulación del concepto de “ideas elementales” que impulsó la noción de la unidad psíquica de la humanidad. </w:t>
      </w:r>
      <w:r w:rsidR="00A62E1C">
        <w:t>Explicó</w:t>
      </w:r>
      <w:r w:rsidRPr="00E863D6">
        <w:t xml:space="preserve"> la similitud de costumbres en todo el mundo a</w:t>
      </w:r>
      <w:r w:rsidR="00A62E1C">
        <w:t xml:space="preserve"> partir de</w:t>
      </w:r>
      <w:r w:rsidRPr="00E863D6">
        <w:t xml:space="preserve"> dichas ideas elementales, básicas y comunes</w:t>
      </w:r>
      <w:r w:rsidR="00A66307">
        <w:t>, pero a su vez</w:t>
      </w:r>
      <w:r w:rsidRPr="00E863D6">
        <w:t xml:space="preserve"> constató las diferencias culturales y las atribuyó a las particulares formas que toman las ideas elementales, modificadas por un medio geográfico, por factores ecológicos, económicos particulares. “De aquí su concepto de “provincias geográficas” que se traducen, más tarde, en las “áreas culturales” de los difusionistas.” (Lisón Tolosana, 1971: 73).</w:t>
      </w:r>
    </w:p>
    <w:p w14:paraId="6AEBBCA1" w14:textId="795B97C0" w:rsidR="00E863D6" w:rsidRDefault="00E863D6">
      <w:pPr>
        <w:pStyle w:val="Textonotapie"/>
      </w:pPr>
    </w:p>
  </w:footnote>
  <w:footnote w:id="2">
    <w:p w14:paraId="27A6B4A0" w14:textId="5A3021F8" w:rsidR="00627DF9" w:rsidRPr="00627DF9" w:rsidRDefault="00627DF9">
      <w:pPr>
        <w:pStyle w:val="Textonotapie"/>
        <w:rPr>
          <w:rFonts w:cstheme="minorHAnsi"/>
        </w:rPr>
      </w:pPr>
      <w:r w:rsidRPr="00627DF9">
        <w:rPr>
          <w:rStyle w:val="Refdenotaalpie"/>
          <w:rFonts w:cstheme="minorHAnsi"/>
        </w:rPr>
        <w:footnoteRef/>
      </w:r>
      <w:r w:rsidRPr="00627DF9">
        <w:rPr>
          <w:rFonts w:cstheme="minorHAnsi"/>
        </w:rPr>
        <w:t xml:space="preserve"> Planteó que los círculos culturales en expansión comienzan a encontrarse, a superponerse, a mezclarse. Tales superposiciones y mezclan crean verdaderas estratificaciones en una determinada cultura que el análisis etnológico puede identificar. (Palerm, 1997).</w:t>
      </w:r>
    </w:p>
  </w:footnote>
  <w:footnote w:id="3">
    <w:p w14:paraId="253DE819" w14:textId="29F69FFC" w:rsidR="008E2176" w:rsidRDefault="008E2176">
      <w:pPr>
        <w:pStyle w:val="Textonotapie"/>
      </w:pPr>
      <w:r>
        <w:rPr>
          <w:rStyle w:val="Refdenotaalpie"/>
        </w:rPr>
        <w:footnoteRef/>
      </w:r>
      <w:r w:rsidR="00B91D21">
        <w:t>Fundó y fue el primer Director del</w:t>
      </w:r>
      <w:r>
        <w:t xml:space="preserve"> Instituto de Antropología de la Universidad de </w:t>
      </w:r>
      <w:r w:rsidR="00B91D21">
        <w:t>T</w:t>
      </w:r>
      <w:r>
        <w:t>ucumán</w:t>
      </w:r>
      <w:r w:rsidR="00C36286">
        <w:t>. Desarrolló un importante estudio etnográfico del Gran Chaco.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54CD"/>
    <w:multiLevelType w:val="hybridMultilevel"/>
    <w:tmpl w:val="16E6E3F2"/>
    <w:lvl w:ilvl="0" w:tplc="2C0A0003">
      <w:start w:val="1"/>
      <w:numFmt w:val="bullet"/>
      <w:lvlText w:val="o"/>
      <w:lvlJc w:val="left"/>
      <w:pPr>
        <w:ind w:left="720" w:hanging="360"/>
      </w:pPr>
      <w:rPr>
        <w:rFonts w:ascii="Courier New" w:hAnsi="Courier New" w:cs="Courier New"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5308116D"/>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num w:numId="1" w16cid:durableId="1184588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5114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8125306">
    <w:abstractNumId w:val="0"/>
  </w:num>
  <w:num w:numId="4" w16cid:durableId="21421146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B1"/>
    <w:rsid w:val="00003BED"/>
    <w:rsid w:val="0002536C"/>
    <w:rsid w:val="00027394"/>
    <w:rsid w:val="00036E6A"/>
    <w:rsid w:val="00041109"/>
    <w:rsid w:val="00051BDE"/>
    <w:rsid w:val="00051E8D"/>
    <w:rsid w:val="0005206B"/>
    <w:rsid w:val="0007347C"/>
    <w:rsid w:val="00084C1D"/>
    <w:rsid w:val="0009092E"/>
    <w:rsid w:val="000A4422"/>
    <w:rsid w:val="000B1AAC"/>
    <w:rsid w:val="000E611B"/>
    <w:rsid w:val="000E7E7E"/>
    <w:rsid w:val="000F095D"/>
    <w:rsid w:val="00111241"/>
    <w:rsid w:val="00125AAA"/>
    <w:rsid w:val="00144BBB"/>
    <w:rsid w:val="0015508F"/>
    <w:rsid w:val="00155CBC"/>
    <w:rsid w:val="00171D1A"/>
    <w:rsid w:val="001749DE"/>
    <w:rsid w:val="00177423"/>
    <w:rsid w:val="00191A61"/>
    <w:rsid w:val="001A044B"/>
    <w:rsid w:val="001A5630"/>
    <w:rsid w:val="001B48F5"/>
    <w:rsid w:val="001C5CDC"/>
    <w:rsid w:val="001D780E"/>
    <w:rsid w:val="001E6766"/>
    <w:rsid w:val="001F2866"/>
    <w:rsid w:val="00211414"/>
    <w:rsid w:val="00217C5A"/>
    <w:rsid w:val="002260D6"/>
    <w:rsid w:val="002445FA"/>
    <w:rsid w:val="00244B9E"/>
    <w:rsid w:val="00247592"/>
    <w:rsid w:val="002708C8"/>
    <w:rsid w:val="00277BCB"/>
    <w:rsid w:val="00284AEE"/>
    <w:rsid w:val="002979EA"/>
    <w:rsid w:val="002A7E80"/>
    <w:rsid w:val="002E6549"/>
    <w:rsid w:val="002F0634"/>
    <w:rsid w:val="00300D08"/>
    <w:rsid w:val="00303D68"/>
    <w:rsid w:val="003070A9"/>
    <w:rsid w:val="003072BC"/>
    <w:rsid w:val="003072BD"/>
    <w:rsid w:val="003139DD"/>
    <w:rsid w:val="00314404"/>
    <w:rsid w:val="003148EA"/>
    <w:rsid w:val="00320A59"/>
    <w:rsid w:val="00334108"/>
    <w:rsid w:val="00370060"/>
    <w:rsid w:val="003939CA"/>
    <w:rsid w:val="003A6AF6"/>
    <w:rsid w:val="003D2970"/>
    <w:rsid w:val="003E08B1"/>
    <w:rsid w:val="003E1644"/>
    <w:rsid w:val="003E77A7"/>
    <w:rsid w:val="004017BF"/>
    <w:rsid w:val="00401E0D"/>
    <w:rsid w:val="00403286"/>
    <w:rsid w:val="00406607"/>
    <w:rsid w:val="00411BFC"/>
    <w:rsid w:val="004161DE"/>
    <w:rsid w:val="0043742C"/>
    <w:rsid w:val="00447555"/>
    <w:rsid w:val="00462ACD"/>
    <w:rsid w:val="00497E38"/>
    <w:rsid w:val="004A185C"/>
    <w:rsid w:val="004A71AB"/>
    <w:rsid w:val="004D3CB4"/>
    <w:rsid w:val="004E1D4A"/>
    <w:rsid w:val="004E22E4"/>
    <w:rsid w:val="00500ED4"/>
    <w:rsid w:val="00504C10"/>
    <w:rsid w:val="005075C6"/>
    <w:rsid w:val="00507A48"/>
    <w:rsid w:val="00557BC7"/>
    <w:rsid w:val="00566DCE"/>
    <w:rsid w:val="005809C4"/>
    <w:rsid w:val="00580FAB"/>
    <w:rsid w:val="00595420"/>
    <w:rsid w:val="005A12BA"/>
    <w:rsid w:val="005C6E01"/>
    <w:rsid w:val="005F3696"/>
    <w:rsid w:val="00601543"/>
    <w:rsid w:val="00601A2A"/>
    <w:rsid w:val="006220AC"/>
    <w:rsid w:val="00627DF9"/>
    <w:rsid w:val="0068789E"/>
    <w:rsid w:val="0069145B"/>
    <w:rsid w:val="00692CDE"/>
    <w:rsid w:val="006A6FFE"/>
    <w:rsid w:val="006C6390"/>
    <w:rsid w:val="006F15E1"/>
    <w:rsid w:val="006F573A"/>
    <w:rsid w:val="006F72F3"/>
    <w:rsid w:val="00711AA4"/>
    <w:rsid w:val="0074052D"/>
    <w:rsid w:val="00743E0E"/>
    <w:rsid w:val="0074739B"/>
    <w:rsid w:val="007810AC"/>
    <w:rsid w:val="007835E0"/>
    <w:rsid w:val="00790299"/>
    <w:rsid w:val="00797EBE"/>
    <w:rsid w:val="007B77AB"/>
    <w:rsid w:val="007E4D81"/>
    <w:rsid w:val="007E6C72"/>
    <w:rsid w:val="007F05A3"/>
    <w:rsid w:val="007F22B7"/>
    <w:rsid w:val="007F5336"/>
    <w:rsid w:val="00800AAA"/>
    <w:rsid w:val="00800E53"/>
    <w:rsid w:val="00807D97"/>
    <w:rsid w:val="008229AE"/>
    <w:rsid w:val="0083748D"/>
    <w:rsid w:val="008526F2"/>
    <w:rsid w:val="008670AC"/>
    <w:rsid w:val="008744F0"/>
    <w:rsid w:val="00883EDD"/>
    <w:rsid w:val="008D082B"/>
    <w:rsid w:val="008E2176"/>
    <w:rsid w:val="008E4BB2"/>
    <w:rsid w:val="008E6A35"/>
    <w:rsid w:val="0090136B"/>
    <w:rsid w:val="00916DF2"/>
    <w:rsid w:val="009537BF"/>
    <w:rsid w:val="00954710"/>
    <w:rsid w:val="009654F0"/>
    <w:rsid w:val="00976B78"/>
    <w:rsid w:val="00981694"/>
    <w:rsid w:val="0098598A"/>
    <w:rsid w:val="009B3365"/>
    <w:rsid w:val="009C5559"/>
    <w:rsid w:val="009E195F"/>
    <w:rsid w:val="00A072F3"/>
    <w:rsid w:val="00A131BD"/>
    <w:rsid w:val="00A62E1C"/>
    <w:rsid w:val="00A64DA4"/>
    <w:rsid w:val="00A65E9D"/>
    <w:rsid w:val="00A660E6"/>
    <w:rsid w:val="00A66307"/>
    <w:rsid w:val="00A66AF5"/>
    <w:rsid w:val="00A70CBB"/>
    <w:rsid w:val="00A777A7"/>
    <w:rsid w:val="00A867C0"/>
    <w:rsid w:val="00AB667E"/>
    <w:rsid w:val="00AB6A7A"/>
    <w:rsid w:val="00AC16DB"/>
    <w:rsid w:val="00AF4FAA"/>
    <w:rsid w:val="00B21BA9"/>
    <w:rsid w:val="00B248EB"/>
    <w:rsid w:val="00B71D17"/>
    <w:rsid w:val="00B84237"/>
    <w:rsid w:val="00B91D21"/>
    <w:rsid w:val="00BC6404"/>
    <w:rsid w:val="00BE12A2"/>
    <w:rsid w:val="00C05699"/>
    <w:rsid w:val="00C066A0"/>
    <w:rsid w:val="00C36286"/>
    <w:rsid w:val="00C3687C"/>
    <w:rsid w:val="00C72ACB"/>
    <w:rsid w:val="00C74C91"/>
    <w:rsid w:val="00C77E29"/>
    <w:rsid w:val="00C94CB4"/>
    <w:rsid w:val="00CE6050"/>
    <w:rsid w:val="00CF1B72"/>
    <w:rsid w:val="00CF3244"/>
    <w:rsid w:val="00D01D9D"/>
    <w:rsid w:val="00D02CAE"/>
    <w:rsid w:val="00D03D85"/>
    <w:rsid w:val="00D229A3"/>
    <w:rsid w:val="00D32B32"/>
    <w:rsid w:val="00D503E0"/>
    <w:rsid w:val="00D55E6C"/>
    <w:rsid w:val="00D735BD"/>
    <w:rsid w:val="00DF03DE"/>
    <w:rsid w:val="00DF301E"/>
    <w:rsid w:val="00E230A5"/>
    <w:rsid w:val="00E5572A"/>
    <w:rsid w:val="00E772AA"/>
    <w:rsid w:val="00E863D6"/>
    <w:rsid w:val="00EA01AA"/>
    <w:rsid w:val="00EA24A7"/>
    <w:rsid w:val="00EA6E1D"/>
    <w:rsid w:val="00EB2E89"/>
    <w:rsid w:val="00ED3FBA"/>
    <w:rsid w:val="00EF011F"/>
    <w:rsid w:val="00F0161C"/>
    <w:rsid w:val="00F43BA6"/>
    <w:rsid w:val="00F6773D"/>
    <w:rsid w:val="00F76C28"/>
    <w:rsid w:val="00F96397"/>
    <w:rsid w:val="00FC51B6"/>
    <w:rsid w:val="00FE2B1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B1DAE"/>
  <w15:chartTrackingRefBased/>
  <w15:docId w15:val="{B928B9FB-D0D6-4025-92BB-406B354C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8B1"/>
    <w:pPr>
      <w:spacing w:line="254" w:lineRule="auto"/>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E08B1"/>
    <w:pPr>
      <w:ind w:left="720"/>
      <w:contextualSpacing/>
    </w:pPr>
  </w:style>
  <w:style w:type="paragraph" w:styleId="Textonotapie">
    <w:name w:val="footnote text"/>
    <w:basedOn w:val="Normal"/>
    <w:link w:val="TextonotapieCar"/>
    <w:uiPriority w:val="99"/>
    <w:semiHidden/>
    <w:unhideWhenUsed/>
    <w:rsid w:val="00B8423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84237"/>
    <w:rPr>
      <w:sz w:val="20"/>
      <w:szCs w:val="20"/>
    </w:rPr>
  </w:style>
  <w:style w:type="character" w:styleId="Refdenotaalpie">
    <w:name w:val="footnote reference"/>
    <w:basedOn w:val="Fuentedeprrafopredeter"/>
    <w:uiPriority w:val="99"/>
    <w:semiHidden/>
    <w:unhideWhenUsed/>
    <w:rsid w:val="00B84237"/>
    <w:rPr>
      <w:vertAlign w:val="superscript"/>
    </w:rPr>
  </w:style>
  <w:style w:type="paragraph" w:styleId="Encabezado">
    <w:name w:val="header"/>
    <w:basedOn w:val="Normal"/>
    <w:link w:val="EncabezadoCar"/>
    <w:uiPriority w:val="99"/>
    <w:unhideWhenUsed/>
    <w:rsid w:val="00B842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4237"/>
  </w:style>
  <w:style w:type="paragraph" w:styleId="Piedepgina">
    <w:name w:val="footer"/>
    <w:basedOn w:val="Normal"/>
    <w:link w:val="PiedepginaCar"/>
    <w:uiPriority w:val="99"/>
    <w:unhideWhenUsed/>
    <w:rsid w:val="00B842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4237"/>
  </w:style>
  <w:style w:type="paragraph" w:customStyle="1" w:styleId="art-title">
    <w:name w:val="art-title"/>
    <w:basedOn w:val="Normal"/>
    <w:rsid w:val="00247592"/>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numero">
    <w:name w:val="numero"/>
    <w:basedOn w:val="Normal"/>
    <w:rsid w:val="00247592"/>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journal">
    <w:name w:val="journal"/>
    <w:basedOn w:val="Fuentedeprrafopredeter"/>
    <w:rsid w:val="00247592"/>
  </w:style>
  <w:style w:type="character" w:customStyle="1" w:styleId="issue">
    <w:name w:val="issue"/>
    <w:basedOn w:val="Fuentedeprrafopredeter"/>
    <w:rsid w:val="00247592"/>
  </w:style>
  <w:style w:type="character" w:customStyle="1" w:styleId="volume">
    <w:name w:val="volume"/>
    <w:basedOn w:val="Fuentedeprrafopredeter"/>
    <w:rsid w:val="00247592"/>
  </w:style>
  <w:style w:type="character" w:customStyle="1" w:styleId="year">
    <w:name w:val="year"/>
    <w:basedOn w:val="Fuentedeprrafopredeter"/>
    <w:rsid w:val="00247592"/>
  </w:style>
  <w:style w:type="character" w:styleId="Hipervnculo">
    <w:name w:val="Hyperlink"/>
    <w:basedOn w:val="Fuentedeprrafopredeter"/>
    <w:uiPriority w:val="99"/>
    <w:unhideWhenUsed/>
    <w:rsid w:val="00247592"/>
    <w:rPr>
      <w:color w:val="0563C1" w:themeColor="hyperlink"/>
      <w:u w:val="single"/>
    </w:rPr>
  </w:style>
  <w:style w:type="character" w:styleId="Mencinsinresolver">
    <w:name w:val="Unresolved Mention"/>
    <w:basedOn w:val="Fuentedeprrafopredeter"/>
    <w:uiPriority w:val="99"/>
    <w:semiHidden/>
    <w:unhideWhenUsed/>
    <w:rsid w:val="00247592"/>
    <w:rPr>
      <w:color w:val="605E5C"/>
      <w:shd w:val="clear" w:color="auto" w:fill="E1DFDD"/>
    </w:rPr>
  </w:style>
  <w:style w:type="character" w:styleId="Hipervnculovisitado">
    <w:name w:val="FollowedHyperlink"/>
    <w:basedOn w:val="Fuentedeprrafopredeter"/>
    <w:uiPriority w:val="99"/>
    <w:semiHidden/>
    <w:unhideWhenUsed/>
    <w:rsid w:val="00692CDE"/>
    <w:rPr>
      <w:color w:val="954F72" w:themeColor="followedHyperlink"/>
      <w:u w:val="single"/>
    </w:rPr>
  </w:style>
  <w:style w:type="paragraph" w:styleId="NormalWeb">
    <w:name w:val="Normal (Web)"/>
    <w:basedOn w:val="Normal"/>
    <w:uiPriority w:val="99"/>
    <w:semiHidden/>
    <w:unhideWhenUsed/>
    <w:rsid w:val="00177423"/>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65341">
      <w:bodyDiv w:val="1"/>
      <w:marLeft w:val="0"/>
      <w:marRight w:val="0"/>
      <w:marTop w:val="0"/>
      <w:marBottom w:val="0"/>
      <w:divBdr>
        <w:top w:val="none" w:sz="0" w:space="0" w:color="auto"/>
        <w:left w:val="none" w:sz="0" w:space="0" w:color="auto"/>
        <w:bottom w:val="none" w:sz="0" w:space="0" w:color="auto"/>
        <w:right w:val="none" w:sz="0" w:space="0" w:color="auto"/>
      </w:divBdr>
    </w:div>
    <w:div w:id="1129594665">
      <w:bodyDiv w:val="1"/>
      <w:marLeft w:val="0"/>
      <w:marRight w:val="0"/>
      <w:marTop w:val="0"/>
      <w:marBottom w:val="0"/>
      <w:divBdr>
        <w:top w:val="none" w:sz="0" w:space="0" w:color="auto"/>
        <w:left w:val="none" w:sz="0" w:space="0" w:color="auto"/>
        <w:bottom w:val="none" w:sz="0" w:space="0" w:color="auto"/>
        <w:right w:val="none" w:sz="0" w:space="0" w:color="auto"/>
      </w:divBdr>
    </w:div>
    <w:div w:id="126419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acebook.com/FritzGraebner/?locale=es_LA" TargetMode="External"/><Relationship Id="rId18" Type="http://schemas.openxmlformats.org/officeDocument/2006/relationships/hyperlink" Target="https://www.bfa.fcnym.unlp.edu.ar/catalogo/doc_num.php?explnum_id=18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yperlink" Target="https://www.redalyc.org/jatsRepo/3870/387059364004/html/index.html" TargetMode="External"/><Relationship Id="rId2" Type="http://schemas.openxmlformats.org/officeDocument/2006/relationships/numbering" Target="numbering.xml"/><Relationship Id="rId16" Type="http://schemas.openxmlformats.org/officeDocument/2006/relationships/hyperlink" Target="http://www.scielo.org.co/pdf/unph/v33n66/v33n66a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rtkarel.com/splendeur-royaume-ife-benin/" TargetMode="External"/><Relationship Id="rId14" Type="http://schemas.openxmlformats.org/officeDocument/2006/relationships/hyperlink" Target="https://www.facebook.com/PaterSchmid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E6CDB3C-FB4C-4F87-A016-B7778B106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11</Pages>
  <Words>3449</Words>
  <Characters>18972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116</cp:revision>
  <dcterms:created xsi:type="dcterms:W3CDTF">2021-08-23T22:14:00Z</dcterms:created>
  <dcterms:modified xsi:type="dcterms:W3CDTF">2023-08-03T20:49:00Z</dcterms:modified>
</cp:coreProperties>
</file>