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4BCCB" w14:textId="77777777" w:rsidR="007B1068" w:rsidRPr="00D16336" w:rsidRDefault="007B1068" w:rsidP="007B1068">
      <w:pPr>
        <w:pStyle w:val="NormalWeb"/>
        <w:spacing w:before="0" w:beforeAutospacing="0" w:after="0" w:afterAutospacing="0"/>
        <w:jc w:val="center"/>
        <w:rPr>
          <w:b/>
          <w:bCs/>
          <w:color w:val="70AD47" w:themeColor="accent6"/>
        </w:rPr>
      </w:pPr>
      <w:r w:rsidRPr="00D16336">
        <w:rPr>
          <w:b/>
          <w:bCs/>
          <w:color w:val="70AD47" w:themeColor="accent6"/>
          <w:sz w:val="20"/>
          <w:szCs w:val="20"/>
        </w:rPr>
        <w:t>Facultad de Humanidades y Artes – UNR</w:t>
      </w:r>
    </w:p>
    <w:p w14:paraId="543BA238" w14:textId="77777777" w:rsidR="007B1068" w:rsidRPr="00D16336" w:rsidRDefault="007B1068" w:rsidP="007B1068">
      <w:pPr>
        <w:pStyle w:val="NormalWeb"/>
        <w:spacing w:before="0" w:beforeAutospacing="0" w:after="0" w:afterAutospacing="0"/>
        <w:jc w:val="center"/>
        <w:rPr>
          <w:b/>
          <w:bCs/>
          <w:color w:val="70AD47" w:themeColor="accent6"/>
        </w:rPr>
      </w:pPr>
      <w:r w:rsidRPr="00D16336">
        <w:rPr>
          <w:b/>
          <w:bCs/>
          <w:color w:val="70AD47" w:themeColor="accent6"/>
          <w:sz w:val="20"/>
          <w:szCs w:val="20"/>
        </w:rPr>
        <w:t>Escuela de Antropología</w:t>
      </w:r>
    </w:p>
    <w:p w14:paraId="0ECB1C88" w14:textId="77777777" w:rsidR="007B1068" w:rsidRPr="00D16336" w:rsidRDefault="007B1068" w:rsidP="007B1068">
      <w:pPr>
        <w:pStyle w:val="NormalWeb"/>
        <w:spacing w:before="0" w:beforeAutospacing="0" w:after="0" w:afterAutospacing="0"/>
        <w:jc w:val="center"/>
        <w:rPr>
          <w:b/>
          <w:bCs/>
          <w:color w:val="70AD47" w:themeColor="accent6"/>
        </w:rPr>
      </w:pPr>
      <w:r w:rsidRPr="00D16336">
        <w:rPr>
          <w:b/>
          <w:bCs/>
          <w:color w:val="70AD47" w:themeColor="accent6"/>
          <w:sz w:val="20"/>
          <w:szCs w:val="20"/>
        </w:rPr>
        <w:t>Corrientes Antropológicas I</w:t>
      </w:r>
    </w:p>
    <w:p w14:paraId="21124D3F" w14:textId="791A434D" w:rsidR="007B1068" w:rsidRPr="00D16336" w:rsidRDefault="007B1068" w:rsidP="007B1068">
      <w:pPr>
        <w:pStyle w:val="NormalWeb"/>
        <w:spacing w:before="0" w:beforeAutospacing="0" w:after="0" w:afterAutospacing="0"/>
        <w:jc w:val="center"/>
        <w:rPr>
          <w:b/>
          <w:bCs/>
          <w:color w:val="70AD47" w:themeColor="accent6"/>
        </w:rPr>
      </w:pPr>
      <w:r w:rsidRPr="00D16336">
        <w:rPr>
          <w:b/>
          <w:bCs/>
          <w:color w:val="70AD47" w:themeColor="accent6"/>
          <w:sz w:val="20"/>
          <w:szCs w:val="20"/>
        </w:rPr>
        <w:t xml:space="preserve">Unidad </w:t>
      </w:r>
      <w:r>
        <w:rPr>
          <w:b/>
          <w:bCs/>
          <w:color w:val="70AD47" w:themeColor="accent6"/>
          <w:sz w:val="20"/>
          <w:szCs w:val="20"/>
        </w:rPr>
        <w:t>V: Las corrientes evolucionistas del siglo XX</w:t>
      </w:r>
    </w:p>
    <w:p w14:paraId="1AFC82CC" w14:textId="77777777" w:rsidR="00F433B9" w:rsidRDefault="00F433B9" w:rsidP="00F433B9">
      <w:pPr>
        <w:jc w:val="center"/>
        <w:rPr>
          <w:rFonts w:ascii="Arial" w:hAnsi="Arial" w:cs="Arial"/>
          <w:b/>
          <w:bCs/>
          <w:sz w:val="32"/>
          <w:szCs w:val="32"/>
        </w:rPr>
      </w:pPr>
    </w:p>
    <w:p w14:paraId="00ABAB4A" w14:textId="5C36B100" w:rsidR="00F433B9" w:rsidRDefault="006B5D86" w:rsidP="00F433B9">
      <w:pPr>
        <w:jc w:val="center"/>
        <w:rPr>
          <w:rFonts w:ascii="Arial" w:hAnsi="Arial" w:cs="Arial"/>
          <w:b/>
          <w:bCs/>
          <w:sz w:val="32"/>
          <w:szCs w:val="32"/>
        </w:rPr>
      </w:pPr>
      <w:r>
        <w:rPr>
          <w:rFonts w:ascii="Arial" w:hAnsi="Arial" w:cs="Arial"/>
          <w:b/>
          <w:bCs/>
          <w:sz w:val="32"/>
          <w:szCs w:val="32"/>
        </w:rPr>
        <w:t>Notas sobre e</w:t>
      </w:r>
      <w:r w:rsidR="00F642A4">
        <w:rPr>
          <w:rFonts w:ascii="Arial" w:hAnsi="Arial" w:cs="Arial"/>
          <w:b/>
          <w:bCs/>
          <w:sz w:val="32"/>
          <w:szCs w:val="32"/>
        </w:rPr>
        <w:t xml:space="preserve">l </w:t>
      </w:r>
      <w:r w:rsidR="009169BF">
        <w:rPr>
          <w:rFonts w:ascii="Arial" w:hAnsi="Arial" w:cs="Arial"/>
          <w:b/>
          <w:bCs/>
          <w:sz w:val="32"/>
          <w:szCs w:val="32"/>
        </w:rPr>
        <w:t>Evolucionismo del siglo XX</w:t>
      </w:r>
    </w:p>
    <w:p w14:paraId="3931263E" w14:textId="69B19993" w:rsidR="00117EBA" w:rsidRPr="00117EBA" w:rsidRDefault="00117EBA" w:rsidP="00F433B9">
      <w:pPr>
        <w:jc w:val="center"/>
        <w:rPr>
          <w:rFonts w:ascii="Arial" w:hAnsi="Arial" w:cs="Arial"/>
          <w:b/>
          <w:bCs/>
          <w:sz w:val="24"/>
          <w:szCs w:val="24"/>
        </w:rPr>
      </w:pPr>
      <w:r w:rsidRPr="00117EBA">
        <w:rPr>
          <w:rFonts w:ascii="Arial" w:hAnsi="Arial" w:cs="Arial"/>
          <w:b/>
          <w:bCs/>
          <w:sz w:val="24"/>
          <w:szCs w:val="24"/>
        </w:rPr>
        <w:t>(Documento base para la clase teórica)</w:t>
      </w:r>
    </w:p>
    <w:p w14:paraId="6E7A8DF4" w14:textId="248EEA44" w:rsidR="00117EBA" w:rsidRDefault="00F433B9" w:rsidP="00117EBA">
      <w:pPr>
        <w:spacing w:after="0" w:line="240" w:lineRule="auto"/>
        <w:jc w:val="right"/>
        <w:rPr>
          <w:rFonts w:ascii="Arial" w:hAnsi="Arial" w:cs="Arial"/>
          <w:b/>
          <w:bCs/>
          <w:sz w:val="24"/>
          <w:szCs w:val="24"/>
        </w:rPr>
      </w:pPr>
      <w:r>
        <w:rPr>
          <w:rFonts w:ascii="Arial" w:hAnsi="Arial" w:cs="Arial"/>
          <w:b/>
          <w:bCs/>
          <w:sz w:val="24"/>
          <w:szCs w:val="24"/>
        </w:rPr>
        <w:t xml:space="preserve">Por Silvana </w:t>
      </w:r>
      <w:proofErr w:type="spellStart"/>
      <w:r>
        <w:rPr>
          <w:rFonts w:ascii="Arial" w:hAnsi="Arial" w:cs="Arial"/>
          <w:b/>
          <w:bCs/>
          <w:sz w:val="24"/>
          <w:szCs w:val="24"/>
        </w:rPr>
        <w:t>Sanche</w:t>
      </w:r>
      <w:r w:rsidR="00117EBA">
        <w:rPr>
          <w:rFonts w:ascii="Arial" w:hAnsi="Arial" w:cs="Arial"/>
          <w:b/>
          <w:bCs/>
          <w:sz w:val="24"/>
          <w:szCs w:val="24"/>
        </w:rPr>
        <w:t>z</w:t>
      </w:r>
      <w:proofErr w:type="spellEnd"/>
    </w:p>
    <w:p w14:paraId="54D6E05E" w14:textId="4365698C" w:rsidR="00F433B9" w:rsidRDefault="00117EBA" w:rsidP="00117EBA">
      <w:pPr>
        <w:spacing w:after="0" w:line="240" w:lineRule="auto"/>
        <w:jc w:val="right"/>
        <w:rPr>
          <w:rFonts w:ascii="Arial" w:hAnsi="Arial" w:cs="Arial"/>
          <w:b/>
          <w:bCs/>
          <w:sz w:val="24"/>
          <w:szCs w:val="24"/>
        </w:rPr>
      </w:pPr>
      <w:r>
        <w:rPr>
          <w:rFonts w:ascii="Arial" w:hAnsi="Arial" w:cs="Arial"/>
          <w:b/>
          <w:bCs/>
          <w:sz w:val="24"/>
          <w:szCs w:val="24"/>
        </w:rPr>
        <w:t xml:space="preserve">Setiembre de </w:t>
      </w:r>
      <w:r w:rsidR="00AF547B">
        <w:rPr>
          <w:rFonts w:ascii="Arial" w:hAnsi="Arial" w:cs="Arial"/>
          <w:b/>
          <w:bCs/>
          <w:sz w:val="24"/>
          <w:szCs w:val="24"/>
        </w:rPr>
        <w:t>2021</w:t>
      </w:r>
    </w:p>
    <w:p w14:paraId="526A4F9D" w14:textId="77777777" w:rsidR="00F433B9" w:rsidRDefault="00F433B9" w:rsidP="00F433B9">
      <w:pPr>
        <w:rPr>
          <w:rFonts w:ascii="Times New Roman" w:hAnsi="Times New Roman" w:cs="Times New Roman"/>
          <w:sz w:val="28"/>
          <w:szCs w:val="28"/>
        </w:rPr>
      </w:pPr>
    </w:p>
    <w:p w14:paraId="537D1AB1" w14:textId="77777777" w:rsidR="00F433B9" w:rsidRDefault="00F433B9" w:rsidP="00F433B9">
      <w:pPr>
        <w:rPr>
          <w:rFonts w:ascii="Arial Rounded MT Bold" w:hAnsi="Arial Rounded MT Bold"/>
          <w:color w:val="538135" w:themeColor="accent6" w:themeShade="BF"/>
          <w:sz w:val="28"/>
          <w:szCs w:val="28"/>
        </w:rPr>
      </w:pPr>
      <w:r>
        <w:rPr>
          <w:rFonts w:ascii="Arial Rounded MT Bold" w:hAnsi="Arial Rounded MT Bold"/>
          <w:color w:val="538135" w:themeColor="accent6" w:themeShade="BF"/>
          <w:sz w:val="28"/>
          <w:szCs w:val="28"/>
        </w:rPr>
        <w:t>OBJETIVOS DE LA CLASE</w:t>
      </w:r>
    </w:p>
    <w:p w14:paraId="0175DE48" w14:textId="138ACB4B" w:rsidR="00F433B9" w:rsidRDefault="00D778BD" w:rsidP="00F433B9">
      <w:pPr>
        <w:pStyle w:val="Prrafodelista"/>
        <w:numPr>
          <w:ilvl w:val="0"/>
          <w:numId w:val="1"/>
        </w:numPr>
        <w:jc w:val="both"/>
        <w:rPr>
          <w:rFonts w:ascii="Arial" w:hAnsi="Arial" w:cs="Arial"/>
          <w:b/>
          <w:bCs/>
          <w:sz w:val="28"/>
          <w:szCs w:val="28"/>
        </w:rPr>
      </w:pPr>
      <w:r>
        <w:rPr>
          <w:rFonts w:ascii="Arial" w:hAnsi="Arial" w:cs="Arial"/>
          <w:b/>
          <w:bCs/>
          <w:sz w:val="28"/>
          <w:szCs w:val="28"/>
        </w:rPr>
        <w:t xml:space="preserve">Contextualizar el </w:t>
      </w:r>
      <w:r w:rsidR="00681791">
        <w:rPr>
          <w:rFonts w:ascii="Arial" w:hAnsi="Arial" w:cs="Arial"/>
          <w:b/>
          <w:bCs/>
          <w:sz w:val="28"/>
          <w:szCs w:val="28"/>
        </w:rPr>
        <w:t>resurgimiento</w:t>
      </w:r>
      <w:r w:rsidR="007F6A39">
        <w:rPr>
          <w:rFonts w:ascii="Arial" w:hAnsi="Arial" w:cs="Arial"/>
          <w:b/>
          <w:bCs/>
          <w:sz w:val="28"/>
          <w:szCs w:val="28"/>
        </w:rPr>
        <w:t xml:space="preserve"> del pensamiento evolucionista</w:t>
      </w:r>
      <w:r w:rsidR="00681791">
        <w:rPr>
          <w:rFonts w:ascii="Arial" w:hAnsi="Arial" w:cs="Arial"/>
          <w:b/>
          <w:bCs/>
          <w:sz w:val="28"/>
          <w:szCs w:val="28"/>
        </w:rPr>
        <w:t xml:space="preserve"> en el siglo XX, y la vindicación de la idea de </w:t>
      </w:r>
      <w:r w:rsidR="00681791" w:rsidRPr="00681791">
        <w:rPr>
          <w:rFonts w:ascii="Arial" w:hAnsi="Arial" w:cs="Arial"/>
          <w:b/>
          <w:bCs/>
          <w:i/>
          <w:iCs/>
          <w:sz w:val="28"/>
          <w:szCs w:val="28"/>
        </w:rPr>
        <w:t>progreso</w:t>
      </w:r>
      <w:r w:rsidR="00681791">
        <w:rPr>
          <w:rFonts w:ascii="Arial" w:hAnsi="Arial" w:cs="Arial"/>
          <w:b/>
          <w:bCs/>
          <w:sz w:val="28"/>
          <w:szCs w:val="28"/>
        </w:rPr>
        <w:t>.</w:t>
      </w:r>
    </w:p>
    <w:p w14:paraId="21DD2BCD" w14:textId="5BC776B5" w:rsidR="00F433B9" w:rsidRDefault="00F433B9" w:rsidP="00F433B9">
      <w:pPr>
        <w:pStyle w:val="Prrafodelista"/>
        <w:numPr>
          <w:ilvl w:val="0"/>
          <w:numId w:val="1"/>
        </w:numPr>
        <w:jc w:val="both"/>
        <w:rPr>
          <w:rFonts w:ascii="Arial" w:hAnsi="Arial" w:cs="Arial"/>
          <w:b/>
          <w:bCs/>
          <w:sz w:val="28"/>
          <w:szCs w:val="28"/>
        </w:rPr>
      </w:pPr>
      <w:r>
        <w:rPr>
          <w:rFonts w:ascii="Arial" w:hAnsi="Arial" w:cs="Arial"/>
          <w:b/>
          <w:bCs/>
          <w:sz w:val="28"/>
          <w:szCs w:val="28"/>
        </w:rPr>
        <w:t xml:space="preserve">Presentar </w:t>
      </w:r>
      <w:r w:rsidR="007B42E3">
        <w:rPr>
          <w:rFonts w:ascii="Arial" w:hAnsi="Arial" w:cs="Arial"/>
          <w:b/>
          <w:bCs/>
          <w:sz w:val="28"/>
          <w:szCs w:val="28"/>
        </w:rPr>
        <w:t>las características</w:t>
      </w:r>
      <w:r w:rsidR="00512C7D">
        <w:rPr>
          <w:rFonts w:ascii="Arial" w:hAnsi="Arial" w:cs="Arial"/>
          <w:b/>
          <w:bCs/>
          <w:sz w:val="28"/>
          <w:szCs w:val="28"/>
        </w:rPr>
        <w:t xml:space="preserve"> generales</w:t>
      </w:r>
      <w:r w:rsidR="007B42E3">
        <w:rPr>
          <w:rFonts w:ascii="Arial" w:hAnsi="Arial" w:cs="Arial"/>
          <w:b/>
          <w:bCs/>
          <w:sz w:val="28"/>
          <w:szCs w:val="28"/>
        </w:rPr>
        <w:t xml:space="preserve"> del</w:t>
      </w:r>
      <w:r w:rsidR="00AF547B">
        <w:rPr>
          <w:rFonts w:ascii="Arial" w:hAnsi="Arial" w:cs="Arial"/>
          <w:b/>
          <w:bCs/>
          <w:sz w:val="28"/>
          <w:szCs w:val="28"/>
        </w:rPr>
        <w:t xml:space="preserve"> </w:t>
      </w:r>
      <w:r w:rsidR="007B42E3">
        <w:rPr>
          <w:rFonts w:ascii="Arial" w:hAnsi="Arial" w:cs="Arial"/>
          <w:b/>
          <w:bCs/>
          <w:sz w:val="28"/>
          <w:szCs w:val="28"/>
        </w:rPr>
        <w:t>neoevolucionismo.</w:t>
      </w:r>
    </w:p>
    <w:p w14:paraId="639D42A7" w14:textId="77777777" w:rsidR="00F433B9" w:rsidRDefault="00F433B9" w:rsidP="00F433B9">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2312DFFB" w14:textId="77777777" w:rsidR="00F433B9" w:rsidRDefault="00F433B9" w:rsidP="00F433B9">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26275576" w14:textId="67A350AE" w:rsidR="00F433B9" w:rsidRDefault="00D778BD" w:rsidP="00F433B9">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Resurgimiento del pensamiento evolucionista</w:t>
      </w:r>
    </w:p>
    <w:p w14:paraId="4E0648F6" w14:textId="77777777" w:rsidR="00F433B9" w:rsidRDefault="00F433B9" w:rsidP="00F433B9">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7BD337AD" w14:textId="4D8F3BAE" w:rsidR="00AD1254" w:rsidRDefault="00D778BD" w:rsidP="009A0648">
      <w:pPr>
        <w:pStyle w:val="Prrafodelista"/>
        <w:spacing w:after="0" w:line="360" w:lineRule="auto"/>
        <w:ind w:left="0"/>
        <w:jc w:val="both"/>
        <w:rPr>
          <w:rFonts w:ascii="Arial" w:hAnsi="Arial" w:cs="Arial"/>
          <w:sz w:val="24"/>
          <w:szCs w:val="24"/>
        </w:rPr>
      </w:pPr>
      <w:r>
        <w:rPr>
          <w:rFonts w:ascii="Arial" w:hAnsi="Arial" w:cs="Arial"/>
          <w:sz w:val="24"/>
          <w:szCs w:val="24"/>
        </w:rPr>
        <w:tab/>
      </w:r>
      <w:r w:rsidR="00FE592A">
        <w:rPr>
          <w:rFonts w:ascii="Arial" w:hAnsi="Arial" w:cs="Arial"/>
          <w:sz w:val="24"/>
          <w:szCs w:val="24"/>
        </w:rPr>
        <w:t xml:space="preserve">La denominada corriente </w:t>
      </w:r>
      <w:proofErr w:type="spellStart"/>
      <w:r w:rsidR="00FE592A">
        <w:rPr>
          <w:rFonts w:ascii="Arial" w:hAnsi="Arial" w:cs="Arial"/>
          <w:sz w:val="24"/>
          <w:szCs w:val="24"/>
        </w:rPr>
        <w:t>neoevolucionista</w:t>
      </w:r>
      <w:proofErr w:type="spellEnd"/>
      <w:r w:rsidR="00FE592A">
        <w:rPr>
          <w:rFonts w:ascii="Arial" w:hAnsi="Arial" w:cs="Arial"/>
          <w:sz w:val="24"/>
          <w:szCs w:val="24"/>
        </w:rPr>
        <w:t xml:space="preserve"> en antropología es un conjunto heterogéneo de corrientes teóricas, que buscan volver a colocar la evolución sociocultural en el centro del análisis antropológico, luego de décadas de abandono. (</w:t>
      </w:r>
      <w:proofErr w:type="spellStart"/>
      <w:r w:rsidR="00FE592A">
        <w:rPr>
          <w:rFonts w:ascii="Arial" w:hAnsi="Arial" w:cs="Arial"/>
          <w:sz w:val="24"/>
          <w:szCs w:val="24"/>
        </w:rPr>
        <w:t>Krotz</w:t>
      </w:r>
      <w:proofErr w:type="spellEnd"/>
      <w:r w:rsidR="00FE592A">
        <w:rPr>
          <w:rFonts w:ascii="Arial" w:hAnsi="Arial" w:cs="Arial"/>
          <w:sz w:val="24"/>
          <w:szCs w:val="24"/>
        </w:rPr>
        <w:t xml:space="preserve">, </w:t>
      </w:r>
      <w:r>
        <w:rPr>
          <w:rFonts w:ascii="Arial" w:hAnsi="Arial" w:cs="Arial"/>
          <w:sz w:val="24"/>
          <w:szCs w:val="24"/>
        </w:rPr>
        <w:t>s/f)</w:t>
      </w:r>
      <w:r w:rsidR="008E07FB">
        <w:rPr>
          <w:rFonts w:ascii="Arial" w:hAnsi="Arial" w:cs="Arial"/>
          <w:sz w:val="24"/>
          <w:szCs w:val="24"/>
        </w:rPr>
        <w:t xml:space="preserve">. </w:t>
      </w:r>
      <w:r w:rsidR="00AD1254">
        <w:rPr>
          <w:rFonts w:ascii="Arial" w:hAnsi="Arial" w:cs="Arial"/>
          <w:sz w:val="24"/>
          <w:szCs w:val="24"/>
        </w:rPr>
        <w:t xml:space="preserve">Puede señalarse una primera etapa </w:t>
      </w:r>
      <w:proofErr w:type="spellStart"/>
      <w:r w:rsidR="00AD1254">
        <w:rPr>
          <w:rFonts w:ascii="Arial" w:hAnsi="Arial" w:cs="Arial"/>
          <w:sz w:val="24"/>
          <w:szCs w:val="24"/>
        </w:rPr>
        <w:t>neoevolucionista</w:t>
      </w:r>
      <w:proofErr w:type="spellEnd"/>
      <w:r w:rsidR="00AD1254">
        <w:rPr>
          <w:rFonts w:ascii="Arial" w:hAnsi="Arial" w:cs="Arial"/>
          <w:sz w:val="24"/>
          <w:szCs w:val="24"/>
        </w:rPr>
        <w:t>, que corresponde a los años ’30 y ’40, en que sobresalen las figuras de Vere Gordon Childe y Leslie White, y otra etapa que se abre tras la Segunda Guerra Mundial, que implica a autores que ya escribían antes de la Guerra, como Childe, White y Steward, y a muchos otros vinculados con éstos</w:t>
      </w:r>
      <w:r w:rsidR="009D546B">
        <w:rPr>
          <w:rFonts w:ascii="Arial" w:hAnsi="Arial" w:cs="Arial"/>
          <w:sz w:val="24"/>
          <w:szCs w:val="24"/>
        </w:rPr>
        <w:t xml:space="preserve">, </w:t>
      </w:r>
      <w:r w:rsidR="005B25AE">
        <w:rPr>
          <w:rFonts w:ascii="Arial" w:hAnsi="Arial" w:cs="Arial"/>
          <w:sz w:val="24"/>
          <w:szCs w:val="24"/>
        </w:rPr>
        <w:t>entre otros,</w:t>
      </w:r>
      <w:r w:rsidR="009D546B">
        <w:rPr>
          <w:rFonts w:ascii="Arial" w:hAnsi="Arial" w:cs="Arial"/>
          <w:sz w:val="24"/>
          <w:szCs w:val="24"/>
        </w:rPr>
        <w:t xml:space="preserve"> </w:t>
      </w:r>
      <w:proofErr w:type="spellStart"/>
      <w:r w:rsidR="009D546B">
        <w:rPr>
          <w:rFonts w:ascii="Arial" w:hAnsi="Arial" w:cs="Arial"/>
          <w:sz w:val="24"/>
          <w:szCs w:val="24"/>
        </w:rPr>
        <w:t>Wittfo</w:t>
      </w:r>
      <w:r w:rsidR="000377B4">
        <w:rPr>
          <w:rFonts w:ascii="Arial" w:hAnsi="Arial" w:cs="Arial"/>
          <w:sz w:val="24"/>
          <w:szCs w:val="24"/>
        </w:rPr>
        <w:t>g</w:t>
      </w:r>
      <w:r w:rsidR="009D546B">
        <w:rPr>
          <w:rFonts w:ascii="Arial" w:hAnsi="Arial" w:cs="Arial"/>
          <w:sz w:val="24"/>
          <w:szCs w:val="24"/>
        </w:rPr>
        <w:t>el</w:t>
      </w:r>
      <w:proofErr w:type="spellEnd"/>
      <w:r w:rsidR="00AD1254">
        <w:rPr>
          <w:rFonts w:ascii="Arial" w:hAnsi="Arial" w:cs="Arial"/>
          <w:sz w:val="24"/>
          <w:szCs w:val="24"/>
        </w:rPr>
        <w:t xml:space="preserve"> (Alcina French, 1999).</w:t>
      </w:r>
      <w:r w:rsidR="004B6F32">
        <w:rPr>
          <w:rFonts w:ascii="Arial" w:hAnsi="Arial" w:cs="Arial"/>
          <w:sz w:val="24"/>
          <w:szCs w:val="24"/>
        </w:rPr>
        <w:t xml:space="preserve"> </w:t>
      </w:r>
      <w:r w:rsidR="005B25AE">
        <w:rPr>
          <w:rFonts w:ascii="Arial" w:hAnsi="Arial" w:cs="Arial"/>
          <w:sz w:val="24"/>
          <w:szCs w:val="24"/>
        </w:rPr>
        <w:t xml:space="preserve">Todos estos autores influyeron en muchos antropólogos latinoamericanos, que en las décadas del ’60 y ’70 desarrollaron perspectivas </w:t>
      </w:r>
      <w:proofErr w:type="spellStart"/>
      <w:r w:rsidR="005B25AE">
        <w:rPr>
          <w:rFonts w:ascii="Arial" w:hAnsi="Arial" w:cs="Arial"/>
          <w:sz w:val="24"/>
          <w:szCs w:val="24"/>
        </w:rPr>
        <w:t>neoevolucionistas</w:t>
      </w:r>
      <w:proofErr w:type="spellEnd"/>
      <w:r w:rsidR="005B25AE">
        <w:rPr>
          <w:rFonts w:ascii="Arial" w:hAnsi="Arial" w:cs="Arial"/>
          <w:sz w:val="24"/>
          <w:szCs w:val="24"/>
        </w:rPr>
        <w:t xml:space="preserve">, como Ángel </w:t>
      </w:r>
      <w:proofErr w:type="spellStart"/>
      <w:r w:rsidR="005B25AE">
        <w:rPr>
          <w:rFonts w:ascii="Arial" w:hAnsi="Arial" w:cs="Arial"/>
          <w:sz w:val="24"/>
          <w:szCs w:val="24"/>
        </w:rPr>
        <w:t>Palerm</w:t>
      </w:r>
      <w:proofErr w:type="spellEnd"/>
      <w:r w:rsidR="005B25AE">
        <w:rPr>
          <w:rFonts w:ascii="Arial" w:hAnsi="Arial" w:cs="Arial"/>
          <w:sz w:val="24"/>
          <w:szCs w:val="24"/>
        </w:rPr>
        <w:t xml:space="preserve"> y Darcy Ribeiro.</w:t>
      </w:r>
    </w:p>
    <w:p w14:paraId="0AF170F5" w14:textId="6C3BFA2E" w:rsidR="001363C5" w:rsidRDefault="001363C5" w:rsidP="009A0648">
      <w:pPr>
        <w:pStyle w:val="Prrafodelista"/>
        <w:spacing w:after="0" w:line="360" w:lineRule="auto"/>
        <w:ind w:left="0"/>
        <w:jc w:val="both"/>
        <w:rPr>
          <w:rFonts w:ascii="Arial" w:hAnsi="Arial" w:cs="Arial"/>
          <w:sz w:val="24"/>
          <w:szCs w:val="24"/>
        </w:rPr>
      </w:pPr>
      <w:r>
        <w:rPr>
          <w:rFonts w:ascii="Arial" w:hAnsi="Arial" w:cs="Arial"/>
          <w:sz w:val="24"/>
          <w:szCs w:val="24"/>
        </w:rPr>
        <w:tab/>
        <w:t xml:space="preserve">Los planteos de los autores </w:t>
      </w:r>
      <w:proofErr w:type="spellStart"/>
      <w:r>
        <w:rPr>
          <w:rFonts w:ascii="Arial" w:hAnsi="Arial" w:cs="Arial"/>
          <w:sz w:val="24"/>
          <w:szCs w:val="24"/>
        </w:rPr>
        <w:t>neoevolucionistas</w:t>
      </w:r>
      <w:proofErr w:type="spellEnd"/>
      <w:r>
        <w:rPr>
          <w:rFonts w:ascii="Arial" w:hAnsi="Arial" w:cs="Arial"/>
          <w:sz w:val="24"/>
          <w:szCs w:val="24"/>
        </w:rPr>
        <w:t xml:space="preserve"> se enlazan al marxismo, aunque trabajado de modos diferentes.</w:t>
      </w:r>
    </w:p>
    <w:p w14:paraId="6C2CD193" w14:textId="1B26223A" w:rsidR="001822EA" w:rsidRDefault="00AD1254" w:rsidP="001822EA">
      <w:pPr>
        <w:pStyle w:val="Prrafodelista"/>
        <w:spacing w:after="0" w:line="360" w:lineRule="auto"/>
        <w:ind w:left="0"/>
        <w:jc w:val="both"/>
        <w:rPr>
          <w:rFonts w:ascii="Arial" w:hAnsi="Arial" w:cs="Arial"/>
          <w:sz w:val="24"/>
          <w:szCs w:val="24"/>
        </w:rPr>
      </w:pPr>
      <w:r>
        <w:rPr>
          <w:rFonts w:ascii="Arial" w:hAnsi="Arial" w:cs="Arial"/>
          <w:sz w:val="24"/>
          <w:szCs w:val="24"/>
        </w:rPr>
        <w:tab/>
      </w:r>
      <w:r w:rsidR="002B05F9">
        <w:rPr>
          <w:rFonts w:ascii="Arial" w:hAnsi="Arial" w:cs="Arial"/>
          <w:sz w:val="24"/>
          <w:szCs w:val="24"/>
        </w:rPr>
        <w:t>Destacamos entonces que e</w:t>
      </w:r>
      <w:r w:rsidR="008E07FB">
        <w:rPr>
          <w:rFonts w:ascii="Arial" w:hAnsi="Arial" w:cs="Arial"/>
          <w:sz w:val="24"/>
          <w:szCs w:val="24"/>
        </w:rPr>
        <w:t>n la década de 1930</w:t>
      </w:r>
      <w:r>
        <w:rPr>
          <w:rFonts w:ascii="Arial" w:hAnsi="Arial" w:cs="Arial"/>
          <w:sz w:val="24"/>
          <w:szCs w:val="24"/>
        </w:rPr>
        <w:t xml:space="preserve"> </w:t>
      </w:r>
      <w:r w:rsidR="008E07FB">
        <w:rPr>
          <w:rFonts w:ascii="Arial" w:hAnsi="Arial" w:cs="Arial"/>
          <w:sz w:val="24"/>
          <w:szCs w:val="24"/>
        </w:rPr>
        <w:t>se renovó el interés por la evolución cultural, en un contexto histórico-social muy diferente al del siglo XIX</w:t>
      </w:r>
      <w:r w:rsidR="00E04FA5">
        <w:rPr>
          <w:rFonts w:ascii="Arial" w:hAnsi="Arial" w:cs="Arial"/>
          <w:sz w:val="24"/>
          <w:szCs w:val="24"/>
        </w:rPr>
        <w:t>.</w:t>
      </w:r>
      <w:r w:rsidR="001A1C00">
        <w:rPr>
          <w:rFonts w:ascii="Arial" w:hAnsi="Arial" w:cs="Arial"/>
          <w:sz w:val="24"/>
          <w:szCs w:val="24"/>
        </w:rPr>
        <w:t xml:space="preserve"> </w:t>
      </w:r>
      <w:r w:rsidR="001822EA" w:rsidRPr="00876E2E">
        <w:rPr>
          <w:rFonts w:ascii="Arial" w:hAnsi="Arial" w:cs="Arial"/>
          <w:b/>
          <w:bCs/>
          <w:sz w:val="24"/>
          <w:szCs w:val="24"/>
        </w:rPr>
        <w:t>Vere Gordon Childe</w:t>
      </w:r>
      <w:r w:rsidR="007D0DC0">
        <w:rPr>
          <w:rFonts w:ascii="Arial" w:hAnsi="Arial" w:cs="Arial"/>
          <w:sz w:val="24"/>
          <w:szCs w:val="24"/>
        </w:rPr>
        <w:t xml:space="preserve">, </w:t>
      </w:r>
      <w:r w:rsidR="002B05F9">
        <w:rPr>
          <w:rFonts w:ascii="Arial" w:hAnsi="Arial" w:cs="Arial"/>
          <w:sz w:val="24"/>
          <w:szCs w:val="24"/>
        </w:rPr>
        <w:t xml:space="preserve">uno de los autores más representativos de este nuevo </w:t>
      </w:r>
      <w:r w:rsidR="002B05F9">
        <w:rPr>
          <w:rFonts w:ascii="Arial" w:hAnsi="Arial" w:cs="Arial"/>
          <w:sz w:val="24"/>
          <w:szCs w:val="24"/>
        </w:rPr>
        <w:lastRenderedPageBreak/>
        <w:t>evolucionismo</w:t>
      </w:r>
      <w:r w:rsidR="007D0DC0">
        <w:rPr>
          <w:rFonts w:ascii="Arial" w:hAnsi="Arial" w:cs="Arial"/>
          <w:sz w:val="24"/>
          <w:szCs w:val="24"/>
        </w:rPr>
        <w:t>,</w:t>
      </w:r>
      <w:r w:rsidR="002B05F9">
        <w:rPr>
          <w:rFonts w:ascii="Arial" w:hAnsi="Arial" w:cs="Arial"/>
          <w:sz w:val="24"/>
          <w:szCs w:val="24"/>
        </w:rPr>
        <w:t xml:space="preserve"> </w:t>
      </w:r>
      <w:r w:rsidR="001822EA">
        <w:rPr>
          <w:rFonts w:ascii="Arial" w:hAnsi="Arial" w:cs="Arial"/>
          <w:sz w:val="24"/>
          <w:szCs w:val="24"/>
        </w:rPr>
        <w:t>com</w:t>
      </w:r>
      <w:r w:rsidR="002B05F9">
        <w:rPr>
          <w:rFonts w:ascii="Arial" w:hAnsi="Arial" w:cs="Arial"/>
          <w:sz w:val="24"/>
          <w:szCs w:val="24"/>
        </w:rPr>
        <w:t>enzaba</w:t>
      </w:r>
      <w:r w:rsidR="001822EA">
        <w:rPr>
          <w:rFonts w:ascii="Arial" w:hAnsi="Arial" w:cs="Arial"/>
          <w:sz w:val="24"/>
          <w:szCs w:val="24"/>
        </w:rPr>
        <w:t xml:space="preserve"> su libro </w:t>
      </w:r>
      <w:r w:rsidR="001822EA" w:rsidRPr="00775D58">
        <w:rPr>
          <w:rFonts w:ascii="Arial" w:hAnsi="Arial" w:cs="Arial"/>
          <w:i/>
          <w:iCs/>
          <w:sz w:val="24"/>
          <w:szCs w:val="24"/>
        </w:rPr>
        <w:t>Los orígenes de la civilización</w:t>
      </w:r>
      <w:r w:rsidR="001822EA">
        <w:rPr>
          <w:rFonts w:ascii="Arial" w:hAnsi="Arial" w:cs="Arial"/>
          <w:sz w:val="24"/>
          <w:szCs w:val="24"/>
        </w:rPr>
        <w:t xml:space="preserve"> de 1936, con el siguiente párrafo:</w:t>
      </w:r>
    </w:p>
    <w:p w14:paraId="0E70F415" w14:textId="77777777" w:rsidR="001822EA" w:rsidRDefault="001822EA" w:rsidP="001822EA">
      <w:pPr>
        <w:pStyle w:val="Prrafodelista"/>
        <w:spacing w:after="0" w:line="360" w:lineRule="auto"/>
        <w:ind w:left="0"/>
        <w:jc w:val="both"/>
        <w:rPr>
          <w:rFonts w:ascii="Arial" w:hAnsi="Arial" w:cs="Arial"/>
          <w:sz w:val="24"/>
          <w:szCs w:val="24"/>
        </w:rPr>
      </w:pPr>
      <w:r>
        <w:rPr>
          <w:rFonts w:ascii="Arial" w:hAnsi="Arial" w:cs="Arial"/>
          <w:sz w:val="24"/>
          <w:szCs w:val="24"/>
        </w:rPr>
        <w:tab/>
        <w:t>“En el siglo pasado, el “progreso” era aceptado como un hecho. El comercio crecía, la productividad de la industria iba en aumento y la riqueza se acumulaba. Los descubrimientos científicos prometían un avance ilimitado del dominio humano sobre la naturaleza, y, por consiguiente, infinitas posibilidades de ampliar la producción. La creciente prosperidad y la profundización del conocimiento inspiraban la atmósfera de optimismo, sin precedente, que se respiraba en todo el mundo occidental. En nuestros días, este optimismo ha recibido una ruda sacudida. La Primera Guerra Mundial y las crisis subsecuentes, que produjeron, en medio de una horrible miseria, un exceso aparente de mercancías, han socavado sus fundamentos económicos. Y ahora han surgido muchas dudas acerca de la realidad del “progreso”. (Childe, 2010: 9).</w:t>
      </w:r>
    </w:p>
    <w:p w14:paraId="19E4DFB9" w14:textId="64B918EE" w:rsidR="00445FF0" w:rsidRDefault="001822EA" w:rsidP="009A0648">
      <w:pPr>
        <w:pStyle w:val="Prrafodelista"/>
        <w:spacing w:after="0" w:line="360" w:lineRule="auto"/>
        <w:ind w:left="0"/>
        <w:jc w:val="both"/>
        <w:rPr>
          <w:rFonts w:ascii="Arial" w:hAnsi="Arial" w:cs="Arial"/>
          <w:sz w:val="24"/>
          <w:szCs w:val="24"/>
        </w:rPr>
      </w:pPr>
      <w:r>
        <w:rPr>
          <w:rFonts w:ascii="Arial" w:hAnsi="Arial" w:cs="Arial"/>
          <w:sz w:val="24"/>
          <w:szCs w:val="24"/>
        </w:rPr>
        <w:tab/>
        <w:t>En efecto, e</w:t>
      </w:r>
      <w:r w:rsidR="0079668E">
        <w:rPr>
          <w:rFonts w:ascii="Arial" w:hAnsi="Arial" w:cs="Arial"/>
          <w:sz w:val="24"/>
          <w:szCs w:val="24"/>
        </w:rPr>
        <w:t>l período de entreguerras</w:t>
      </w:r>
      <w:r w:rsidR="00EB2B3D">
        <w:rPr>
          <w:rFonts w:ascii="Arial" w:hAnsi="Arial" w:cs="Arial"/>
          <w:sz w:val="24"/>
          <w:szCs w:val="24"/>
        </w:rPr>
        <w:t xml:space="preserve"> (décadas de 1920 y 1930)</w:t>
      </w:r>
      <w:r w:rsidR="0079668E">
        <w:rPr>
          <w:rFonts w:ascii="Arial" w:hAnsi="Arial" w:cs="Arial"/>
          <w:sz w:val="24"/>
          <w:szCs w:val="24"/>
        </w:rPr>
        <w:t xml:space="preserve"> se caracterizó por fuertes dificultades en la economía capitalista mundial</w:t>
      </w:r>
      <w:r w:rsidR="001B3A09">
        <w:rPr>
          <w:rFonts w:ascii="Arial" w:hAnsi="Arial" w:cs="Arial"/>
          <w:sz w:val="24"/>
          <w:szCs w:val="24"/>
        </w:rPr>
        <w:t xml:space="preserve">, </w:t>
      </w:r>
      <w:r w:rsidR="00AC57C9">
        <w:rPr>
          <w:rFonts w:ascii="Arial" w:hAnsi="Arial" w:cs="Arial"/>
          <w:sz w:val="24"/>
          <w:szCs w:val="24"/>
        </w:rPr>
        <w:t>cuyo colapso se expresó en el crac de la bolsa de Nueva York en 1929. Dicho acontecimiento marcó el inicio de una crisis económica y financiera general y profunda</w:t>
      </w:r>
      <w:r w:rsidR="00094AE9">
        <w:rPr>
          <w:rFonts w:ascii="Arial" w:hAnsi="Arial" w:cs="Arial"/>
          <w:sz w:val="24"/>
          <w:szCs w:val="24"/>
        </w:rPr>
        <w:t>. La principal consecuencia fue una alta tasa de desempleo</w:t>
      </w:r>
      <w:r>
        <w:rPr>
          <w:rFonts w:ascii="Arial" w:hAnsi="Arial" w:cs="Arial"/>
          <w:sz w:val="24"/>
          <w:szCs w:val="24"/>
        </w:rPr>
        <w:t xml:space="preserve"> y una oleada de insurrecciones políticas.</w:t>
      </w:r>
      <w:r w:rsidR="009F00E7">
        <w:rPr>
          <w:rFonts w:ascii="Arial" w:hAnsi="Arial" w:cs="Arial"/>
          <w:sz w:val="24"/>
          <w:szCs w:val="24"/>
        </w:rPr>
        <w:t xml:space="preserve"> En Japón y en Europa se produjo un fuerte giro hacia la derecha, excepto en Escandinavia, y en España (donde triunfa la república en 1931). Se asistirá al crecimiento de los movimientos fascistas. El movimiento comunista internacional fuera de la URSS se debilitó y hubo un retroceso general de la izquierda. </w:t>
      </w:r>
      <w:r w:rsidR="008E07FB" w:rsidRPr="008E07FB">
        <w:rPr>
          <w:rFonts w:ascii="Arial" w:hAnsi="Arial" w:cs="Arial"/>
          <w:sz w:val="24"/>
          <w:szCs w:val="24"/>
        </w:rPr>
        <w:t>P</w:t>
      </w:r>
      <w:r w:rsidR="009F00E7">
        <w:rPr>
          <w:rFonts w:ascii="Arial" w:hAnsi="Arial" w:cs="Arial"/>
          <w:sz w:val="24"/>
          <w:szCs w:val="24"/>
        </w:rPr>
        <w:t>ero</w:t>
      </w:r>
      <w:r w:rsidR="005B25AE">
        <w:rPr>
          <w:rFonts w:ascii="Arial" w:hAnsi="Arial" w:cs="Arial"/>
          <w:sz w:val="24"/>
          <w:szCs w:val="24"/>
        </w:rPr>
        <w:t>,</w:t>
      </w:r>
      <w:r w:rsidR="00FB4B43">
        <w:rPr>
          <w:rFonts w:ascii="Arial" w:hAnsi="Arial" w:cs="Arial"/>
          <w:sz w:val="24"/>
          <w:szCs w:val="24"/>
        </w:rPr>
        <w:t xml:space="preserve"> </w:t>
      </w:r>
      <w:r w:rsidR="009F00E7">
        <w:rPr>
          <w:rFonts w:ascii="Arial" w:hAnsi="Arial" w:cs="Arial"/>
          <w:sz w:val="24"/>
          <w:szCs w:val="24"/>
        </w:rPr>
        <w:t xml:space="preserve">sobre todo, la Gran Depresión </w:t>
      </w:r>
      <w:r w:rsidR="002E08E8">
        <w:rPr>
          <w:rFonts w:ascii="Arial" w:hAnsi="Arial" w:cs="Arial"/>
          <w:sz w:val="24"/>
          <w:szCs w:val="24"/>
        </w:rPr>
        <w:t>“</w:t>
      </w:r>
      <w:r w:rsidR="009F00E7">
        <w:rPr>
          <w:rFonts w:ascii="Arial" w:hAnsi="Arial" w:cs="Arial"/>
          <w:sz w:val="24"/>
          <w:szCs w:val="24"/>
        </w:rPr>
        <w:t>f</w:t>
      </w:r>
      <w:r w:rsidR="008E07FB" w:rsidRPr="008E07FB">
        <w:rPr>
          <w:rFonts w:ascii="Arial" w:hAnsi="Arial" w:cs="Arial"/>
          <w:sz w:val="24"/>
          <w:szCs w:val="24"/>
        </w:rPr>
        <w:t xml:space="preserve">ue una catástrofe que acabó con cualquier esperanza de restablecer la economía y la sociedad del siglo </w:t>
      </w:r>
      <w:r w:rsidR="003A688A">
        <w:rPr>
          <w:rFonts w:ascii="Arial" w:hAnsi="Arial" w:cs="Arial"/>
          <w:sz w:val="24"/>
          <w:szCs w:val="24"/>
        </w:rPr>
        <w:t>XIX</w:t>
      </w:r>
      <w:r w:rsidR="008E07FB" w:rsidRPr="008E07FB">
        <w:rPr>
          <w:rFonts w:ascii="Arial" w:hAnsi="Arial" w:cs="Arial"/>
          <w:sz w:val="24"/>
          <w:szCs w:val="24"/>
        </w:rPr>
        <w:t>.” (Hobsbaw</w:t>
      </w:r>
      <w:r w:rsidR="003A688A">
        <w:rPr>
          <w:rFonts w:ascii="Arial" w:hAnsi="Arial" w:cs="Arial"/>
          <w:sz w:val="24"/>
          <w:szCs w:val="24"/>
        </w:rPr>
        <w:t>m</w:t>
      </w:r>
      <w:r w:rsidR="008E07FB" w:rsidRPr="008E07FB">
        <w:rPr>
          <w:rFonts w:ascii="Arial" w:hAnsi="Arial" w:cs="Arial"/>
          <w:sz w:val="24"/>
          <w:szCs w:val="24"/>
        </w:rPr>
        <w:t>,</w:t>
      </w:r>
      <w:r w:rsidR="00D778BD">
        <w:rPr>
          <w:rFonts w:ascii="Arial" w:hAnsi="Arial" w:cs="Arial"/>
          <w:sz w:val="24"/>
          <w:szCs w:val="24"/>
        </w:rPr>
        <w:t>1999:</w:t>
      </w:r>
      <w:r w:rsidR="00876E2E">
        <w:rPr>
          <w:rFonts w:ascii="Arial" w:hAnsi="Arial" w:cs="Arial"/>
          <w:sz w:val="24"/>
          <w:szCs w:val="24"/>
        </w:rPr>
        <w:t xml:space="preserve"> </w:t>
      </w:r>
      <w:r w:rsidR="008E07FB" w:rsidRPr="008E07FB">
        <w:rPr>
          <w:rFonts w:ascii="Arial" w:hAnsi="Arial" w:cs="Arial"/>
          <w:sz w:val="24"/>
          <w:szCs w:val="24"/>
        </w:rPr>
        <w:t>114).</w:t>
      </w:r>
      <w:r w:rsidR="009F00E7">
        <w:rPr>
          <w:rFonts w:ascii="Arial" w:hAnsi="Arial" w:cs="Arial"/>
          <w:sz w:val="24"/>
          <w:szCs w:val="24"/>
        </w:rPr>
        <w:t xml:space="preserve"> </w:t>
      </w:r>
      <w:r w:rsidR="00D778BD">
        <w:rPr>
          <w:rFonts w:ascii="Arial" w:hAnsi="Arial" w:cs="Arial"/>
          <w:sz w:val="24"/>
          <w:szCs w:val="24"/>
        </w:rPr>
        <w:t>De acuerdo con Hobsbaw</w:t>
      </w:r>
      <w:r w:rsidR="003A688A">
        <w:rPr>
          <w:rFonts w:ascii="Arial" w:hAnsi="Arial" w:cs="Arial"/>
          <w:sz w:val="24"/>
          <w:szCs w:val="24"/>
        </w:rPr>
        <w:t>m</w:t>
      </w:r>
      <w:r w:rsidR="00D778BD">
        <w:rPr>
          <w:rFonts w:ascii="Arial" w:hAnsi="Arial" w:cs="Arial"/>
          <w:sz w:val="24"/>
          <w:szCs w:val="24"/>
        </w:rPr>
        <w:t xml:space="preserve">, </w:t>
      </w:r>
      <w:r w:rsidR="00445FF0">
        <w:rPr>
          <w:rFonts w:ascii="Arial" w:hAnsi="Arial" w:cs="Arial"/>
          <w:sz w:val="24"/>
          <w:szCs w:val="24"/>
        </w:rPr>
        <w:t>se trat</w:t>
      </w:r>
      <w:r w:rsidR="00DD0AA4">
        <w:rPr>
          <w:rFonts w:ascii="Arial" w:hAnsi="Arial" w:cs="Arial"/>
          <w:sz w:val="24"/>
          <w:szCs w:val="24"/>
        </w:rPr>
        <w:t>ó</w:t>
      </w:r>
      <w:r w:rsidR="00445FF0">
        <w:rPr>
          <w:rFonts w:ascii="Arial" w:hAnsi="Arial" w:cs="Arial"/>
          <w:sz w:val="24"/>
          <w:szCs w:val="24"/>
        </w:rPr>
        <w:t xml:space="preserve"> de un período en el cual, no sólo la paz, la economía y la estabilidad social estaban amenazadas; también las instituciones y los valores de la sociedad burguesa liberal del siglo XIX estaban retrocediendo o derrumbándose. (Hobsbaw</w:t>
      </w:r>
      <w:r w:rsidR="003A688A">
        <w:rPr>
          <w:rFonts w:ascii="Arial" w:hAnsi="Arial" w:cs="Arial"/>
          <w:sz w:val="24"/>
          <w:szCs w:val="24"/>
        </w:rPr>
        <w:t>m</w:t>
      </w:r>
      <w:r w:rsidR="00445FF0">
        <w:rPr>
          <w:rFonts w:ascii="Arial" w:hAnsi="Arial" w:cs="Arial"/>
          <w:sz w:val="24"/>
          <w:szCs w:val="24"/>
        </w:rPr>
        <w:t xml:space="preserve">, </w:t>
      </w:r>
      <w:r w:rsidR="00D778BD">
        <w:rPr>
          <w:rFonts w:ascii="Arial" w:hAnsi="Arial" w:cs="Arial"/>
          <w:sz w:val="24"/>
          <w:szCs w:val="24"/>
        </w:rPr>
        <w:t>1999).</w:t>
      </w:r>
    </w:p>
    <w:p w14:paraId="69AAFBDD" w14:textId="32F3C460" w:rsidR="00EF155C" w:rsidRDefault="00775D58" w:rsidP="009A0648">
      <w:pPr>
        <w:pStyle w:val="Prrafodelista"/>
        <w:spacing w:after="0" w:line="360" w:lineRule="auto"/>
        <w:ind w:left="0"/>
        <w:jc w:val="both"/>
        <w:rPr>
          <w:rFonts w:ascii="Arial" w:hAnsi="Arial" w:cs="Arial"/>
          <w:sz w:val="24"/>
          <w:szCs w:val="24"/>
        </w:rPr>
      </w:pPr>
      <w:r>
        <w:rPr>
          <w:rFonts w:ascii="Arial" w:hAnsi="Arial" w:cs="Arial"/>
          <w:sz w:val="24"/>
          <w:szCs w:val="24"/>
        </w:rPr>
        <w:tab/>
      </w:r>
      <w:r w:rsidR="009F00E7">
        <w:rPr>
          <w:rFonts w:ascii="Arial" w:hAnsi="Arial" w:cs="Arial"/>
          <w:sz w:val="24"/>
          <w:szCs w:val="24"/>
        </w:rPr>
        <w:t xml:space="preserve">Tomando en cuenta dicho contexto, </w:t>
      </w:r>
      <w:r w:rsidR="00EF155C">
        <w:rPr>
          <w:rFonts w:ascii="Arial" w:hAnsi="Arial" w:cs="Arial"/>
          <w:sz w:val="24"/>
          <w:szCs w:val="24"/>
        </w:rPr>
        <w:t xml:space="preserve">Childe sostiene que, para muchos autores de su tiempo, la idea de progreso se ha revestido de pesimismo o misticismo, y uno de sus grandes objeticos será reivindicar y justificar la </w:t>
      </w:r>
      <w:r w:rsidR="00EF155C">
        <w:rPr>
          <w:rFonts w:ascii="Arial" w:hAnsi="Arial" w:cs="Arial"/>
          <w:sz w:val="24"/>
          <w:szCs w:val="24"/>
        </w:rPr>
        <w:lastRenderedPageBreak/>
        <w:t>confianza en el progreso “tanto en los días de depresión como en el apogeo de la prosperidad del siglo pasado”. (Childe, 2010: 10</w:t>
      </w:r>
      <w:r w:rsidR="00D557A6">
        <w:rPr>
          <w:rFonts w:ascii="Arial" w:hAnsi="Arial" w:cs="Arial"/>
          <w:sz w:val="24"/>
          <w:szCs w:val="24"/>
        </w:rPr>
        <w:t>).</w:t>
      </w:r>
    </w:p>
    <w:p w14:paraId="31450E3A" w14:textId="70843478" w:rsidR="007D0DC0" w:rsidRPr="002E7307" w:rsidRDefault="007D0DC0" w:rsidP="007D0DC0">
      <w:pPr>
        <w:pStyle w:val="Prrafodelista"/>
        <w:spacing w:after="0" w:line="360" w:lineRule="auto"/>
        <w:ind w:left="0"/>
        <w:jc w:val="both"/>
        <w:rPr>
          <w:rFonts w:ascii="Arial" w:hAnsi="Arial" w:cs="Arial"/>
          <w:sz w:val="24"/>
          <w:szCs w:val="24"/>
        </w:rPr>
      </w:pPr>
      <w:r>
        <w:rPr>
          <w:rFonts w:ascii="Arial" w:hAnsi="Arial" w:cs="Arial"/>
          <w:sz w:val="24"/>
          <w:szCs w:val="24"/>
        </w:rPr>
        <w:tab/>
        <w:t xml:space="preserve">El renacimiento de la teoría evolucionista también </w:t>
      </w:r>
      <w:r w:rsidR="00084E2C">
        <w:rPr>
          <w:rFonts w:ascii="Arial" w:hAnsi="Arial" w:cs="Arial"/>
          <w:sz w:val="24"/>
          <w:szCs w:val="24"/>
        </w:rPr>
        <w:t>fue</w:t>
      </w:r>
      <w:r>
        <w:rPr>
          <w:rFonts w:ascii="Arial" w:hAnsi="Arial" w:cs="Arial"/>
          <w:sz w:val="24"/>
          <w:szCs w:val="24"/>
        </w:rPr>
        <w:t xml:space="preserve"> potente en Estados Unidos, principalmente a partir de las contribuciones de </w:t>
      </w:r>
      <w:r w:rsidRPr="00876E2E">
        <w:rPr>
          <w:rFonts w:ascii="Arial" w:hAnsi="Arial" w:cs="Arial"/>
          <w:b/>
          <w:bCs/>
          <w:sz w:val="24"/>
          <w:szCs w:val="24"/>
        </w:rPr>
        <w:t>Leslie White.</w:t>
      </w:r>
      <w:r>
        <w:rPr>
          <w:rFonts w:ascii="Arial" w:hAnsi="Arial" w:cs="Arial"/>
          <w:sz w:val="24"/>
          <w:szCs w:val="24"/>
        </w:rPr>
        <w:t xml:space="preserve"> Formado en un ambiente intelectual de rechazo al evolucionismo, en donde pocos antropólogos norteamericanos se dedicaban a la búsqueda de leyes </w:t>
      </w:r>
      <w:r w:rsidR="00614DD2">
        <w:rPr>
          <w:rFonts w:ascii="Arial" w:hAnsi="Arial" w:cs="Arial"/>
          <w:sz w:val="24"/>
          <w:szCs w:val="24"/>
        </w:rPr>
        <w:t>generales</w:t>
      </w:r>
      <w:r>
        <w:rPr>
          <w:rFonts w:ascii="Arial" w:hAnsi="Arial" w:cs="Arial"/>
          <w:sz w:val="24"/>
          <w:szCs w:val="24"/>
        </w:rPr>
        <w:t xml:space="preserve"> que rigen la cultura, afirmó su condición de evolucionista inspirado directamente en las obras de Tylor y Morgan. Así, la búsqueda de regularidades y universales culturales recobra el ímpetu decimonónico.</w:t>
      </w:r>
    </w:p>
    <w:p w14:paraId="5A9B26C8" w14:textId="1DAED607" w:rsidR="001A1C00" w:rsidRDefault="007D0DC0" w:rsidP="009A0648">
      <w:pPr>
        <w:pStyle w:val="Prrafodelista"/>
        <w:spacing w:after="0" w:line="360" w:lineRule="auto"/>
        <w:ind w:left="0"/>
        <w:jc w:val="both"/>
        <w:rPr>
          <w:rFonts w:ascii="Arial" w:hAnsi="Arial" w:cs="Arial"/>
          <w:sz w:val="24"/>
          <w:szCs w:val="24"/>
        </w:rPr>
      </w:pPr>
      <w:r>
        <w:rPr>
          <w:rFonts w:ascii="Arial" w:hAnsi="Arial" w:cs="Arial"/>
          <w:sz w:val="24"/>
          <w:szCs w:val="24"/>
        </w:rPr>
        <w:tab/>
      </w:r>
      <w:r w:rsidR="001A1C00">
        <w:rPr>
          <w:rFonts w:ascii="Arial" w:hAnsi="Arial" w:cs="Arial"/>
          <w:sz w:val="24"/>
          <w:szCs w:val="24"/>
        </w:rPr>
        <w:t>Alcina Franch (1999) vincula el renacimiento del Evolucionismo en los años ’30 y ’40 con dos grandes factores: por un lado, la crítica de la crítica ejercida desde principios de siglo hacia el evolucionismo clásico, y</w:t>
      </w:r>
      <w:r w:rsidR="005B25AE">
        <w:rPr>
          <w:rFonts w:ascii="Arial" w:hAnsi="Arial" w:cs="Arial"/>
          <w:sz w:val="24"/>
          <w:szCs w:val="24"/>
        </w:rPr>
        <w:t>,</w:t>
      </w:r>
      <w:r w:rsidR="001A1C00">
        <w:rPr>
          <w:rFonts w:ascii="Arial" w:hAnsi="Arial" w:cs="Arial"/>
          <w:sz w:val="24"/>
          <w:szCs w:val="24"/>
        </w:rPr>
        <w:t xml:space="preserve"> por otro lado, la esperanza que había abierto el triunfo de la Revolución Rusa en muchos intelectuales, “que veían en el nuevo orden político instaurado en la antigua Rusia, la prueba de que la evolución social era posible y sus resultados potencialmente incalculables.” (Alcina Franch, 1999. 76). Ello explica que tanto Leslie White como Gordon Childe visiten la URSS</w:t>
      </w:r>
      <w:r>
        <w:rPr>
          <w:rFonts w:ascii="Arial" w:hAnsi="Arial" w:cs="Arial"/>
          <w:sz w:val="24"/>
          <w:szCs w:val="24"/>
        </w:rPr>
        <w:t xml:space="preserve"> en 1929 y 1935 respectivamente.</w:t>
      </w:r>
    </w:p>
    <w:p w14:paraId="3202E2F7" w14:textId="57559EC3" w:rsidR="002E7307" w:rsidRDefault="001720CD" w:rsidP="002E7307">
      <w:pPr>
        <w:pStyle w:val="Prrafodelista"/>
        <w:spacing w:after="0" w:line="360" w:lineRule="auto"/>
        <w:ind w:left="0"/>
        <w:jc w:val="both"/>
        <w:rPr>
          <w:rFonts w:ascii="Arial" w:hAnsi="Arial" w:cs="Arial"/>
          <w:sz w:val="24"/>
          <w:szCs w:val="24"/>
        </w:rPr>
      </w:pPr>
      <w:r>
        <w:rPr>
          <w:rFonts w:ascii="Arial" w:hAnsi="Arial" w:cs="Arial"/>
          <w:sz w:val="24"/>
          <w:szCs w:val="24"/>
        </w:rPr>
        <w:tab/>
      </w:r>
      <w:r w:rsidR="009F00E7">
        <w:rPr>
          <w:rFonts w:ascii="Arial" w:hAnsi="Arial" w:cs="Arial"/>
          <w:sz w:val="24"/>
          <w:szCs w:val="24"/>
        </w:rPr>
        <w:t xml:space="preserve">Un rasgo común </w:t>
      </w:r>
      <w:r w:rsidR="00496988">
        <w:rPr>
          <w:rFonts w:ascii="Arial" w:hAnsi="Arial" w:cs="Arial"/>
          <w:sz w:val="24"/>
          <w:szCs w:val="24"/>
        </w:rPr>
        <w:t>en la concepción del progreso</w:t>
      </w:r>
      <w:r w:rsidR="002E7307">
        <w:rPr>
          <w:rFonts w:ascii="Arial" w:hAnsi="Arial" w:cs="Arial"/>
          <w:sz w:val="24"/>
          <w:szCs w:val="24"/>
        </w:rPr>
        <w:t xml:space="preserve"> </w:t>
      </w:r>
      <w:r w:rsidR="00496988">
        <w:rPr>
          <w:rFonts w:ascii="Arial" w:hAnsi="Arial" w:cs="Arial"/>
          <w:sz w:val="24"/>
          <w:szCs w:val="24"/>
        </w:rPr>
        <w:t>en</w:t>
      </w:r>
      <w:r w:rsidR="002E7307">
        <w:rPr>
          <w:rFonts w:ascii="Arial" w:hAnsi="Arial" w:cs="Arial"/>
          <w:sz w:val="24"/>
          <w:szCs w:val="24"/>
        </w:rPr>
        <w:t xml:space="preserve"> Childe y White,</w:t>
      </w:r>
      <w:r w:rsidR="009F00E7">
        <w:rPr>
          <w:rFonts w:ascii="Arial" w:hAnsi="Arial" w:cs="Arial"/>
          <w:sz w:val="24"/>
          <w:szCs w:val="24"/>
        </w:rPr>
        <w:t xml:space="preserve"> es </w:t>
      </w:r>
      <w:r w:rsidR="00C55748">
        <w:rPr>
          <w:rFonts w:ascii="Arial" w:hAnsi="Arial" w:cs="Arial"/>
          <w:sz w:val="24"/>
          <w:szCs w:val="24"/>
        </w:rPr>
        <w:t xml:space="preserve">la utilización de criterios que consideraban objetivos -expresados numéricamente- para analizar </w:t>
      </w:r>
      <w:r w:rsidR="002E7307">
        <w:rPr>
          <w:rFonts w:ascii="Arial" w:hAnsi="Arial" w:cs="Arial"/>
          <w:sz w:val="24"/>
          <w:szCs w:val="24"/>
        </w:rPr>
        <w:t>las tendencias de los cambios evolutivos</w:t>
      </w:r>
      <w:r w:rsidR="00C55748">
        <w:rPr>
          <w:rFonts w:ascii="Arial" w:hAnsi="Arial" w:cs="Arial"/>
          <w:sz w:val="24"/>
          <w:szCs w:val="24"/>
        </w:rPr>
        <w:t xml:space="preserve">. </w:t>
      </w:r>
      <w:r w:rsidR="002E7864">
        <w:rPr>
          <w:rFonts w:ascii="Arial" w:hAnsi="Arial" w:cs="Arial"/>
          <w:sz w:val="24"/>
          <w:szCs w:val="24"/>
        </w:rPr>
        <w:t>De este modo, se proponen evitar los juicios de valor en la definición de la evolución o el progreso.</w:t>
      </w:r>
    </w:p>
    <w:p w14:paraId="7ADBD965" w14:textId="199EC278" w:rsidR="00B070E0" w:rsidRDefault="002E7307" w:rsidP="002E7307">
      <w:pPr>
        <w:pStyle w:val="Prrafodelista"/>
        <w:spacing w:after="0" w:line="360" w:lineRule="auto"/>
        <w:ind w:left="0"/>
        <w:jc w:val="both"/>
        <w:rPr>
          <w:rFonts w:ascii="Arial" w:hAnsi="Arial" w:cs="Arial"/>
          <w:sz w:val="24"/>
          <w:szCs w:val="24"/>
        </w:rPr>
      </w:pPr>
      <w:r>
        <w:rPr>
          <w:rFonts w:ascii="Arial" w:hAnsi="Arial" w:cs="Arial"/>
          <w:sz w:val="24"/>
          <w:szCs w:val="24"/>
        </w:rPr>
        <w:tab/>
        <w:t>“</w:t>
      </w:r>
      <w:r w:rsidRPr="00E56FB7">
        <w:rPr>
          <w:rFonts w:ascii="Arial" w:hAnsi="Arial" w:cs="Arial"/>
          <w:sz w:val="24"/>
          <w:szCs w:val="24"/>
        </w:rPr>
        <w:t xml:space="preserve">Mientras que para la mayoría de los antropólogos decimonónicos </w:t>
      </w:r>
      <w:r>
        <w:rPr>
          <w:rFonts w:ascii="Arial" w:hAnsi="Arial" w:cs="Arial"/>
          <w:sz w:val="24"/>
          <w:szCs w:val="24"/>
        </w:rPr>
        <w:t>no</w:t>
      </w:r>
      <w:r w:rsidRPr="00E56FB7">
        <w:rPr>
          <w:rFonts w:ascii="Arial" w:hAnsi="Arial" w:cs="Arial"/>
          <w:sz w:val="24"/>
          <w:szCs w:val="24"/>
        </w:rPr>
        <w:t xml:space="preserve"> parece haber existido muchas dudas acerca de que los sectores sociales de Europa y Norteamérica industrializados y urbanizados representaban la cumbre del progreso humano, algunos de sus sucesores que, después de un largo ostracismo de la perspectiva evolucionista en la antropología dominante, volvieron a mediados del presente siglo a ella, criticaron aquel supuesto como etnocéntrico, cargado de valores históricamente limitados e incluso justificadores de colonialismo e imperialismo. Sin embargo, también ellos tenían que establecer algún tipo de criterio para distinguir entre etapas o fenómenos más o menos evolucionados. Para no utilizar como sus antecesores la distancia entre las configuraciones socioculturales bajo estudio y un tipo determinado (real o imaginario) de sociedad como parámetro evaluativo, optaron por criterios de </w:t>
      </w:r>
      <w:r w:rsidRPr="00E56FB7">
        <w:rPr>
          <w:rFonts w:ascii="Arial" w:hAnsi="Arial" w:cs="Arial"/>
          <w:sz w:val="24"/>
          <w:szCs w:val="24"/>
        </w:rPr>
        <w:lastRenderedPageBreak/>
        <w:t>orden cuantitativo. Así, el aumento numérico de la especie humana como resultado de sus adaptaciones (pasivas y activas) exitosas a las condiciones ecológicas existentes o, más abstracto, el incremento de la conversión energética en el sistema social global, se convirtieron en el elemento central de la comparación</w:t>
      </w:r>
      <w:r>
        <w:rPr>
          <w:rFonts w:ascii="Arial" w:hAnsi="Arial" w:cs="Arial"/>
          <w:sz w:val="24"/>
          <w:szCs w:val="24"/>
        </w:rPr>
        <w:t>.” (</w:t>
      </w:r>
      <w:proofErr w:type="spellStart"/>
      <w:r>
        <w:rPr>
          <w:rFonts w:ascii="Arial" w:hAnsi="Arial" w:cs="Arial"/>
          <w:sz w:val="24"/>
          <w:szCs w:val="24"/>
        </w:rPr>
        <w:t>Krotz</w:t>
      </w:r>
      <w:proofErr w:type="spellEnd"/>
      <w:r>
        <w:rPr>
          <w:rFonts w:ascii="Arial" w:hAnsi="Arial" w:cs="Arial"/>
          <w:sz w:val="24"/>
          <w:szCs w:val="24"/>
        </w:rPr>
        <w:t>, s/f:15).</w:t>
      </w:r>
    </w:p>
    <w:p w14:paraId="4F1D7450" w14:textId="77777777" w:rsidR="00B070E0" w:rsidRDefault="00B070E0" w:rsidP="002E7307">
      <w:pPr>
        <w:pStyle w:val="Prrafodelista"/>
        <w:spacing w:after="0" w:line="360" w:lineRule="auto"/>
        <w:ind w:left="0"/>
        <w:jc w:val="both"/>
        <w:rPr>
          <w:rFonts w:ascii="Arial" w:hAnsi="Arial" w:cs="Arial"/>
          <w:sz w:val="24"/>
          <w:szCs w:val="24"/>
        </w:rPr>
      </w:pPr>
    </w:p>
    <w:p w14:paraId="0EEC2F2F" w14:textId="4DED33FA" w:rsidR="002A5518" w:rsidRPr="008D51A1" w:rsidRDefault="002A5518" w:rsidP="002E7307">
      <w:pPr>
        <w:pStyle w:val="Prrafodelista"/>
        <w:spacing w:after="0" w:line="360" w:lineRule="auto"/>
        <w:ind w:left="0"/>
        <w:jc w:val="both"/>
        <w:rPr>
          <w:rFonts w:ascii="Arial" w:hAnsi="Arial" w:cs="Arial"/>
          <w:sz w:val="24"/>
          <w:szCs w:val="24"/>
        </w:rPr>
      </w:pPr>
      <w:r>
        <w:rPr>
          <w:rFonts w:ascii="Arial" w:hAnsi="Arial" w:cs="Arial"/>
          <w:sz w:val="24"/>
          <w:szCs w:val="24"/>
        </w:rPr>
        <w:tab/>
      </w:r>
      <w:r w:rsidR="000E5CAD">
        <w:rPr>
          <w:rFonts w:ascii="Arial" w:hAnsi="Arial" w:cs="Arial"/>
          <w:sz w:val="24"/>
          <w:szCs w:val="24"/>
        </w:rPr>
        <w:t>L</w:t>
      </w:r>
      <w:r w:rsidR="00B16EDD">
        <w:rPr>
          <w:rFonts w:ascii="Arial" w:hAnsi="Arial" w:cs="Arial"/>
          <w:sz w:val="24"/>
          <w:szCs w:val="24"/>
        </w:rPr>
        <w:t>os antropólogos</w:t>
      </w:r>
      <w:r w:rsidR="000E5CAD">
        <w:rPr>
          <w:rFonts w:ascii="Arial" w:hAnsi="Arial" w:cs="Arial"/>
          <w:sz w:val="24"/>
          <w:szCs w:val="24"/>
        </w:rPr>
        <w:t xml:space="preserve"> evolucionistas del siglo XX</w:t>
      </w:r>
      <w:r w:rsidR="008D51A1">
        <w:rPr>
          <w:rFonts w:ascii="Arial" w:hAnsi="Arial" w:cs="Arial"/>
          <w:sz w:val="24"/>
          <w:szCs w:val="24"/>
        </w:rPr>
        <w:t xml:space="preserve"> reconocen un amplio margen de heterogeneidad en los procesos de evolución </w:t>
      </w:r>
      <w:proofErr w:type="spellStart"/>
      <w:r w:rsidR="0072174A">
        <w:rPr>
          <w:rFonts w:ascii="Arial" w:hAnsi="Arial" w:cs="Arial"/>
          <w:sz w:val="24"/>
          <w:szCs w:val="24"/>
        </w:rPr>
        <w:t>histórica</w:t>
      </w:r>
      <w:r w:rsidR="008D51A1">
        <w:rPr>
          <w:rFonts w:ascii="Arial" w:hAnsi="Arial" w:cs="Arial"/>
          <w:sz w:val="24"/>
          <w:szCs w:val="24"/>
        </w:rPr>
        <w:t>l</w:t>
      </w:r>
      <w:proofErr w:type="spellEnd"/>
      <w:r w:rsidR="008D51A1">
        <w:rPr>
          <w:rFonts w:ascii="Arial" w:hAnsi="Arial" w:cs="Arial"/>
          <w:sz w:val="24"/>
          <w:szCs w:val="24"/>
        </w:rPr>
        <w:t>. D</w:t>
      </w:r>
      <w:r w:rsidR="000E5CAD">
        <w:rPr>
          <w:rFonts w:ascii="Arial" w:hAnsi="Arial" w:cs="Arial"/>
          <w:sz w:val="24"/>
          <w:szCs w:val="24"/>
        </w:rPr>
        <w:t xml:space="preserve">an relieve a los </w:t>
      </w:r>
      <w:r w:rsidR="008D51A1">
        <w:rPr>
          <w:rFonts w:ascii="Arial" w:hAnsi="Arial" w:cs="Arial"/>
          <w:sz w:val="24"/>
          <w:szCs w:val="24"/>
        </w:rPr>
        <w:t>mecanismos</w:t>
      </w:r>
      <w:r w:rsidR="000E5CAD">
        <w:rPr>
          <w:rFonts w:ascii="Arial" w:hAnsi="Arial" w:cs="Arial"/>
          <w:sz w:val="24"/>
          <w:szCs w:val="24"/>
        </w:rPr>
        <w:t xml:space="preserve"> humanos de adaptación y control del medio circundante a través de la cultura. L</w:t>
      </w:r>
      <w:r>
        <w:rPr>
          <w:rFonts w:ascii="Arial" w:hAnsi="Arial" w:cs="Arial"/>
          <w:sz w:val="24"/>
          <w:szCs w:val="24"/>
        </w:rPr>
        <w:t xml:space="preserve">a multiplicidad de culturas documentadas tanto por la etnografía como por la arqueología tiende a ser considerada como adaptaciones específicas a medioambientes determinados. </w:t>
      </w:r>
      <w:r w:rsidR="000E5CAD">
        <w:rPr>
          <w:rFonts w:ascii="Arial" w:hAnsi="Arial" w:cs="Arial"/>
          <w:sz w:val="24"/>
          <w:szCs w:val="24"/>
        </w:rPr>
        <w:t xml:space="preserve">De </w:t>
      </w:r>
      <w:r w:rsidR="008D51A1">
        <w:rPr>
          <w:rFonts w:ascii="Arial" w:hAnsi="Arial" w:cs="Arial"/>
          <w:sz w:val="24"/>
          <w:szCs w:val="24"/>
        </w:rPr>
        <w:t>todos modos</w:t>
      </w:r>
      <w:r w:rsidR="000E5CAD">
        <w:rPr>
          <w:rFonts w:ascii="Arial" w:hAnsi="Arial" w:cs="Arial"/>
          <w:sz w:val="24"/>
          <w:szCs w:val="24"/>
        </w:rPr>
        <w:t>, las influencias del medio serán relevantes únicamente para el estudio de las culturas particulares</w:t>
      </w:r>
      <w:r w:rsidR="008D51A1">
        <w:rPr>
          <w:rFonts w:ascii="Arial" w:hAnsi="Arial" w:cs="Arial"/>
          <w:sz w:val="24"/>
          <w:szCs w:val="24"/>
        </w:rPr>
        <w:t xml:space="preserve"> y de procesos específicos de evolución</w:t>
      </w:r>
      <w:r w:rsidR="000E5CAD">
        <w:rPr>
          <w:rFonts w:ascii="Arial" w:hAnsi="Arial" w:cs="Arial"/>
          <w:sz w:val="24"/>
          <w:szCs w:val="24"/>
        </w:rPr>
        <w:t xml:space="preserve">. </w:t>
      </w:r>
      <w:r>
        <w:rPr>
          <w:rFonts w:ascii="Arial" w:hAnsi="Arial" w:cs="Arial"/>
          <w:sz w:val="24"/>
          <w:szCs w:val="24"/>
        </w:rPr>
        <w:t>Las diferencias “deben ser ignoradas si se quiere llegar a estableces estadios generales (universales) de la evolución cultural y descubrir sus leyes de desarrollo”. (</w:t>
      </w:r>
      <w:proofErr w:type="spellStart"/>
      <w:r>
        <w:rPr>
          <w:rFonts w:ascii="Arial" w:hAnsi="Arial" w:cs="Arial"/>
          <w:sz w:val="24"/>
          <w:szCs w:val="24"/>
        </w:rPr>
        <w:t>Palerm</w:t>
      </w:r>
      <w:proofErr w:type="spellEnd"/>
      <w:r w:rsidR="00320273">
        <w:rPr>
          <w:rFonts w:ascii="Arial" w:hAnsi="Arial" w:cs="Arial"/>
          <w:sz w:val="24"/>
          <w:szCs w:val="24"/>
        </w:rPr>
        <w:t>, 1997:</w:t>
      </w:r>
      <w:r>
        <w:rPr>
          <w:rFonts w:ascii="Arial" w:hAnsi="Arial" w:cs="Arial"/>
          <w:sz w:val="24"/>
          <w:szCs w:val="24"/>
        </w:rPr>
        <w:t xml:space="preserve"> 76)</w:t>
      </w:r>
    </w:p>
    <w:p w14:paraId="12237889" w14:textId="6D777D78" w:rsidR="00B252B8" w:rsidRDefault="00B252B8" w:rsidP="00B252B8">
      <w:pPr>
        <w:pStyle w:val="Prrafodelista"/>
        <w:spacing w:after="0" w:line="360" w:lineRule="auto"/>
        <w:ind w:left="0"/>
        <w:jc w:val="both"/>
        <w:rPr>
          <w:rFonts w:ascii="Arial" w:hAnsi="Arial" w:cs="Arial"/>
          <w:sz w:val="24"/>
          <w:szCs w:val="24"/>
        </w:rPr>
      </w:pPr>
      <w:r>
        <w:rPr>
          <w:rFonts w:ascii="Arial" w:hAnsi="Arial" w:cs="Arial"/>
          <w:sz w:val="24"/>
          <w:szCs w:val="24"/>
        </w:rPr>
        <w:tab/>
        <w:t xml:space="preserve">La </w:t>
      </w:r>
      <w:r w:rsidRPr="00545E87">
        <w:rPr>
          <w:rFonts w:ascii="Arial" w:hAnsi="Arial" w:cs="Arial"/>
          <w:b/>
          <w:bCs/>
          <w:sz w:val="24"/>
          <w:szCs w:val="24"/>
        </w:rPr>
        <w:t>evolución general o universal</w:t>
      </w:r>
      <w:r>
        <w:rPr>
          <w:rFonts w:ascii="Arial" w:hAnsi="Arial" w:cs="Arial"/>
          <w:sz w:val="24"/>
          <w:szCs w:val="24"/>
        </w:rPr>
        <w:t xml:space="preserve"> </w:t>
      </w:r>
      <w:r w:rsidR="00991820">
        <w:rPr>
          <w:rFonts w:ascii="Arial" w:hAnsi="Arial" w:cs="Arial"/>
          <w:sz w:val="24"/>
          <w:szCs w:val="24"/>
        </w:rPr>
        <w:t xml:space="preserve">de que hablaron estos antropólogos, </w:t>
      </w:r>
      <w:r>
        <w:rPr>
          <w:rFonts w:ascii="Arial" w:hAnsi="Arial" w:cs="Arial"/>
          <w:sz w:val="24"/>
          <w:szCs w:val="24"/>
        </w:rPr>
        <w:t>implica el estudio de la Cultura en general</w:t>
      </w:r>
      <w:r w:rsidR="00B10E96">
        <w:rPr>
          <w:rFonts w:ascii="Arial" w:hAnsi="Arial" w:cs="Arial"/>
          <w:sz w:val="24"/>
          <w:szCs w:val="24"/>
        </w:rPr>
        <w:t xml:space="preserve"> y en mayúscula</w:t>
      </w:r>
      <w:r>
        <w:rPr>
          <w:rFonts w:ascii="Arial" w:hAnsi="Arial" w:cs="Arial"/>
          <w:sz w:val="24"/>
          <w:szCs w:val="24"/>
        </w:rPr>
        <w:t xml:space="preserve">, no de las diversas y numerosas culturas concretas. Partiendo de las evoluciones </w:t>
      </w:r>
      <w:r w:rsidR="0072174A">
        <w:rPr>
          <w:rFonts w:ascii="Arial" w:hAnsi="Arial" w:cs="Arial"/>
          <w:sz w:val="24"/>
          <w:szCs w:val="24"/>
        </w:rPr>
        <w:t>concretas</w:t>
      </w:r>
      <w:r>
        <w:rPr>
          <w:rFonts w:ascii="Arial" w:hAnsi="Arial" w:cs="Arial"/>
          <w:sz w:val="24"/>
          <w:szCs w:val="24"/>
        </w:rPr>
        <w:t xml:space="preserve"> de una cantidad de grupos humanos diferentes, </w:t>
      </w:r>
      <w:r w:rsidR="00545E87">
        <w:rPr>
          <w:rFonts w:ascii="Arial" w:hAnsi="Arial" w:cs="Arial"/>
          <w:sz w:val="24"/>
          <w:szCs w:val="24"/>
        </w:rPr>
        <w:t>lo que interesa es</w:t>
      </w:r>
      <w:r>
        <w:rPr>
          <w:rFonts w:ascii="Arial" w:hAnsi="Arial" w:cs="Arial"/>
          <w:sz w:val="24"/>
          <w:szCs w:val="24"/>
        </w:rPr>
        <w:t xml:space="preserve"> detectar</w:t>
      </w:r>
      <w:r w:rsidR="00545E87">
        <w:rPr>
          <w:rFonts w:ascii="Arial" w:hAnsi="Arial" w:cs="Arial"/>
          <w:sz w:val="24"/>
          <w:szCs w:val="24"/>
        </w:rPr>
        <w:t xml:space="preserve"> en </w:t>
      </w:r>
      <w:r w:rsidR="00B16EDD">
        <w:rPr>
          <w:rFonts w:ascii="Arial" w:hAnsi="Arial" w:cs="Arial"/>
          <w:sz w:val="24"/>
          <w:szCs w:val="24"/>
        </w:rPr>
        <w:t>su</w:t>
      </w:r>
      <w:r w:rsidR="00545E87">
        <w:rPr>
          <w:rFonts w:ascii="Arial" w:hAnsi="Arial" w:cs="Arial"/>
          <w:sz w:val="24"/>
          <w:szCs w:val="24"/>
        </w:rPr>
        <w:t>s transformaciones evolutivas particulares</w:t>
      </w:r>
      <w:r>
        <w:rPr>
          <w:rFonts w:ascii="Arial" w:hAnsi="Arial" w:cs="Arial"/>
          <w:sz w:val="24"/>
          <w:szCs w:val="24"/>
        </w:rPr>
        <w:t xml:space="preserve"> alg</w:t>
      </w:r>
      <w:r w:rsidR="00545E87">
        <w:rPr>
          <w:rFonts w:ascii="Arial" w:hAnsi="Arial" w:cs="Arial"/>
          <w:sz w:val="24"/>
          <w:szCs w:val="24"/>
        </w:rPr>
        <w:t>ún denominador común a todas ellas, alguna dirección o tendencia general</w:t>
      </w:r>
      <w:r w:rsidR="00545E87">
        <w:rPr>
          <w:rFonts w:ascii="Arial" w:hAnsi="Arial" w:cs="Arial"/>
          <w:b/>
          <w:bCs/>
          <w:sz w:val="24"/>
          <w:szCs w:val="24"/>
        </w:rPr>
        <w:t xml:space="preserve">, </w:t>
      </w:r>
      <w:r w:rsidR="00545E87" w:rsidRPr="00545E87">
        <w:rPr>
          <w:rFonts w:ascii="Arial" w:hAnsi="Arial" w:cs="Arial"/>
          <w:sz w:val="24"/>
          <w:szCs w:val="24"/>
        </w:rPr>
        <w:t xml:space="preserve">y no se atiende a los detalles particulares, que constituyen su </w:t>
      </w:r>
      <w:r w:rsidR="00545E87">
        <w:rPr>
          <w:rFonts w:ascii="Arial" w:hAnsi="Arial" w:cs="Arial"/>
          <w:b/>
          <w:bCs/>
          <w:sz w:val="24"/>
          <w:szCs w:val="24"/>
        </w:rPr>
        <w:t xml:space="preserve">evolución específica. </w:t>
      </w:r>
      <w:r w:rsidRPr="008B06C9">
        <w:rPr>
          <w:rFonts w:ascii="Arial" w:hAnsi="Arial" w:cs="Arial"/>
          <w:sz w:val="24"/>
          <w:szCs w:val="24"/>
        </w:rPr>
        <w:t>L</w:t>
      </w:r>
      <w:r>
        <w:rPr>
          <w:rFonts w:ascii="Arial" w:hAnsi="Arial" w:cs="Arial"/>
          <w:sz w:val="24"/>
          <w:szCs w:val="24"/>
        </w:rPr>
        <w:t>a evolución general es una abstracción de la realidad, una construcción mental, independiente de tiempo y espacio</w:t>
      </w:r>
      <w:r w:rsidR="00B16EDD">
        <w:rPr>
          <w:rFonts w:ascii="Arial" w:hAnsi="Arial" w:cs="Arial"/>
          <w:sz w:val="24"/>
          <w:szCs w:val="24"/>
        </w:rPr>
        <w:t xml:space="preserve"> (</w:t>
      </w:r>
      <w:proofErr w:type="spellStart"/>
      <w:r w:rsidR="00B16EDD">
        <w:rPr>
          <w:rFonts w:ascii="Arial" w:hAnsi="Arial" w:cs="Arial"/>
          <w:sz w:val="24"/>
          <w:szCs w:val="24"/>
        </w:rPr>
        <w:t>Lisón</w:t>
      </w:r>
      <w:proofErr w:type="spellEnd"/>
      <w:r w:rsidR="00B16EDD">
        <w:rPr>
          <w:rFonts w:ascii="Arial" w:hAnsi="Arial" w:cs="Arial"/>
          <w:sz w:val="24"/>
          <w:szCs w:val="24"/>
        </w:rPr>
        <w:t xml:space="preserve"> Tolosana, 1980).</w:t>
      </w:r>
    </w:p>
    <w:p w14:paraId="37534FA7" w14:textId="5B2E4876" w:rsidR="00B252B8" w:rsidRPr="00B10E96" w:rsidRDefault="00B252B8" w:rsidP="002E7307">
      <w:pPr>
        <w:pStyle w:val="Prrafodelista"/>
        <w:spacing w:after="0" w:line="360" w:lineRule="auto"/>
        <w:ind w:left="0"/>
        <w:jc w:val="both"/>
        <w:rPr>
          <w:rFonts w:ascii="Arial" w:hAnsi="Arial" w:cs="Arial"/>
          <w:sz w:val="24"/>
          <w:szCs w:val="24"/>
        </w:rPr>
      </w:pPr>
      <w:r>
        <w:rPr>
          <w:rFonts w:ascii="Arial" w:hAnsi="Arial" w:cs="Arial"/>
          <w:sz w:val="24"/>
          <w:szCs w:val="24"/>
        </w:rPr>
        <w:tab/>
      </w:r>
    </w:p>
    <w:p w14:paraId="6083E0D8" w14:textId="66A0361D" w:rsidR="00530AE5" w:rsidRPr="009F00E7" w:rsidRDefault="009F00E7" w:rsidP="005555A7">
      <w:pPr>
        <w:pStyle w:val="Prrafodelista"/>
        <w:spacing w:after="0" w:line="360" w:lineRule="auto"/>
        <w:ind w:left="0"/>
        <w:jc w:val="both"/>
        <w:rPr>
          <w:rFonts w:ascii="Arial" w:hAnsi="Arial" w:cs="Arial"/>
          <w:sz w:val="24"/>
          <w:szCs w:val="24"/>
        </w:rPr>
      </w:pPr>
      <w:r>
        <w:rPr>
          <w:rFonts w:ascii="Arial" w:hAnsi="Arial" w:cs="Arial"/>
          <w:sz w:val="24"/>
          <w:szCs w:val="24"/>
        </w:rPr>
        <w:t xml:space="preserve"> </w:t>
      </w:r>
      <w:r w:rsidR="007D0DC0">
        <w:rPr>
          <w:rFonts w:ascii="Arial" w:hAnsi="Arial" w:cs="Arial"/>
          <w:sz w:val="24"/>
          <w:szCs w:val="24"/>
        </w:rPr>
        <w:tab/>
      </w:r>
      <w:proofErr w:type="spellStart"/>
      <w:r w:rsidR="00876E2E" w:rsidRPr="00876E2E">
        <w:rPr>
          <w:rFonts w:ascii="Arial" w:hAnsi="Arial" w:cs="Arial"/>
          <w:b/>
          <w:bCs/>
          <w:sz w:val="24"/>
          <w:szCs w:val="24"/>
        </w:rPr>
        <w:t>Julian</w:t>
      </w:r>
      <w:proofErr w:type="spellEnd"/>
      <w:r w:rsidR="00876E2E" w:rsidRPr="00876E2E">
        <w:rPr>
          <w:rFonts w:ascii="Arial" w:hAnsi="Arial" w:cs="Arial"/>
          <w:b/>
          <w:bCs/>
          <w:sz w:val="24"/>
          <w:szCs w:val="24"/>
        </w:rPr>
        <w:t xml:space="preserve"> </w:t>
      </w:r>
      <w:r w:rsidR="00A27B4E" w:rsidRPr="00876E2E">
        <w:rPr>
          <w:rFonts w:ascii="Arial" w:hAnsi="Arial" w:cs="Arial"/>
          <w:b/>
          <w:bCs/>
          <w:sz w:val="24"/>
          <w:szCs w:val="24"/>
        </w:rPr>
        <w:t>Steward</w:t>
      </w:r>
      <w:r w:rsidR="00D557A6">
        <w:rPr>
          <w:rFonts w:ascii="Arial" w:hAnsi="Arial" w:cs="Arial"/>
          <w:sz w:val="24"/>
          <w:szCs w:val="24"/>
        </w:rPr>
        <w:t xml:space="preserve"> </w:t>
      </w:r>
      <w:r w:rsidR="00B10E96">
        <w:rPr>
          <w:rFonts w:ascii="Arial" w:hAnsi="Arial" w:cs="Arial"/>
          <w:sz w:val="24"/>
          <w:szCs w:val="24"/>
        </w:rPr>
        <w:t xml:space="preserve">fue </w:t>
      </w:r>
      <w:r w:rsidR="00D557A6">
        <w:rPr>
          <w:rFonts w:ascii="Arial" w:hAnsi="Arial" w:cs="Arial"/>
          <w:sz w:val="24"/>
          <w:szCs w:val="24"/>
        </w:rPr>
        <w:t>otro antropólogo norteamericano que hizo importantes contribuciones al renacimiento del evolucionismo</w:t>
      </w:r>
      <w:r w:rsidR="00B252B8">
        <w:rPr>
          <w:rFonts w:ascii="Arial" w:hAnsi="Arial" w:cs="Arial"/>
          <w:sz w:val="24"/>
          <w:szCs w:val="24"/>
        </w:rPr>
        <w:t xml:space="preserve">, y que suele ser considerado como el autor de la primera formulación del principio de la evolución </w:t>
      </w:r>
      <w:proofErr w:type="spellStart"/>
      <w:r w:rsidR="00B252B8">
        <w:rPr>
          <w:rFonts w:ascii="Arial" w:hAnsi="Arial" w:cs="Arial"/>
          <w:sz w:val="24"/>
          <w:szCs w:val="24"/>
        </w:rPr>
        <w:t>multilineal</w:t>
      </w:r>
      <w:proofErr w:type="spellEnd"/>
      <w:r w:rsidR="00B252B8">
        <w:rPr>
          <w:rFonts w:ascii="Arial" w:hAnsi="Arial" w:cs="Arial"/>
          <w:sz w:val="24"/>
          <w:szCs w:val="24"/>
        </w:rPr>
        <w:t>.</w:t>
      </w:r>
      <w:r w:rsidR="00D557A6">
        <w:rPr>
          <w:rFonts w:ascii="Arial" w:hAnsi="Arial" w:cs="Arial"/>
          <w:sz w:val="24"/>
          <w:szCs w:val="24"/>
        </w:rPr>
        <w:t xml:space="preserve"> </w:t>
      </w:r>
      <w:r w:rsidR="00B252B8">
        <w:rPr>
          <w:rFonts w:ascii="Arial" w:hAnsi="Arial" w:cs="Arial"/>
          <w:sz w:val="24"/>
          <w:szCs w:val="24"/>
        </w:rPr>
        <w:t>Al igual que White y Childe, t</w:t>
      </w:r>
      <w:r w:rsidR="00D557A6">
        <w:rPr>
          <w:rFonts w:ascii="Arial" w:hAnsi="Arial" w:cs="Arial"/>
          <w:sz w:val="24"/>
          <w:szCs w:val="24"/>
        </w:rPr>
        <w:t xml:space="preserve">ambién planteó la búsqueda de regularidades o leyes culturales, </w:t>
      </w:r>
      <w:r w:rsidR="00064749">
        <w:rPr>
          <w:rFonts w:ascii="Arial" w:hAnsi="Arial" w:cs="Arial"/>
          <w:sz w:val="24"/>
          <w:szCs w:val="24"/>
        </w:rPr>
        <w:t>pero acusó</w:t>
      </w:r>
      <w:r w:rsidR="00A27B4E">
        <w:rPr>
          <w:rFonts w:ascii="Arial" w:hAnsi="Arial" w:cs="Arial"/>
          <w:sz w:val="24"/>
          <w:szCs w:val="24"/>
        </w:rPr>
        <w:t xml:space="preserve"> </w:t>
      </w:r>
      <w:r w:rsidR="00064749">
        <w:rPr>
          <w:rFonts w:ascii="Arial" w:hAnsi="Arial" w:cs="Arial"/>
          <w:sz w:val="24"/>
          <w:szCs w:val="24"/>
        </w:rPr>
        <w:t>a</w:t>
      </w:r>
      <w:r w:rsidR="00A27B4E">
        <w:rPr>
          <w:rFonts w:ascii="Arial" w:hAnsi="Arial" w:cs="Arial"/>
          <w:sz w:val="24"/>
          <w:szCs w:val="24"/>
        </w:rPr>
        <w:t xml:space="preserve"> </w:t>
      </w:r>
      <w:r w:rsidR="00B252B8">
        <w:rPr>
          <w:rFonts w:ascii="Arial" w:hAnsi="Arial" w:cs="Arial"/>
          <w:sz w:val="24"/>
          <w:szCs w:val="24"/>
        </w:rPr>
        <w:t>éstos</w:t>
      </w:r>
      <w:r w:rsidR="005C7DD2">
        <w:rPr>
          <w:rFonts w:ascii="Arial" w:hAnsi="Arial" w:cs="Arial"/>
          <w:sz w:val="24"/>
          <w:szCs w:val="24"/>
        </w:rPr>
        <w:t>,</w:t>
      </w:r>
      <w:r w:rsidR="00A27B4E">
        <w:rPr>
          <w:rFonts w:ascii="Arial" w:hAnsi="Arial" w:cs="Arial"/>
          <w:sz w:val="24"/>
          <w:szCs w:val="24"/>
        </w:rPr>
        <w:t xml:space="preserve"> de no explicar los rasgos particulares de las culturas </w:t>
      </w:r>
      <w:r w:rsidR="00512C7D">
        <w:rPr>
          <w:rFonts w:ascii="Arial" w:hAnsi="Arial" w:cs="Arial"/>
          <w:sz w:val="24"/>
          <w:szCs w:val="24"/>
        </w:rPr>
        <w:t>individuales</w:t>
      </w:r>
      <w:r w:rsidR="007360E5">
        <w:rPr>
          <w:rFonts w:ascii="Arial" w:hAnsi="Arial" w:cs="Arial"/>
          <w:sz w:val="24"/>
          <w:szCs w:val="24"/>
        </w:rPr>
        <w:t xml:space="preserve"> y la puesta en marcha de adaptaciones ecológico-culturales concretas</w:t>
      </w:r>
      <w:r w:rsidR="00A27B4E">
        <w:rPr>
          <w:rFonts w:ascii="Arial" w:hAnsi="Arial" w:cs="Arial"/>
          <w:sz w:val="24"/>
          <w:szCs w:val="24"/>
        </w:rPr>
        <w:t xml:space="preserve">. </w:t>
      </w:r>
      <w:r w:rsidR="002E7864">
        <w:rPr>
          <w:rFonts w:ascii="Arial" w:hAnsi="Arial" w:cs="Arial"/>
          <w:sz w:val="24"/>
          <w:szCs w:val="24"/>
        </w:rPr>
        <w:t xml:space="preserve">Propuso un enfoque </w:t>
      </w:r>
      <w:r w:rsidR="00A27B4E">
        <w:rPr>
          <w:rFonts w:ascii="Arial" w:hAnsi="Arial" w:cs="Arial"/>
          <w:sz w:val="24"/>
          <w:szCs w:val="24"/>
        </w:rPr>
        <w:t>evolucion</w:t>
      </w:r>
      <w:r w:rsidR="002E7864">
        <w:rPr>
          <w:rFonts w:ascii="Arial" w:hAnsi="Arial" w:cs="Arial"/>
          <w:sz w:val="24"/>
          <w:szCs w:val="24"/>
        </w:rPr>
        <w:t>ista</w:t>
      </w:r>
      <w:r w:rsidR="00A27B4E">
        <w:rPr>
          <w:rFonts w:ascii="Arial" w:hAnsi="Arial" w:cs="Arial"/>
          <w:sz w:val="24"/>
          <w:szCs w:val="24"/>
        </w:rPr>
        <w:t xml:space="preserve"> </w:t>
      </w:r>
      <w:proofErr w:type="spellStart"/>
      <w:r w:rsidR="00A27B4E">
        <w:rPr>
          <w:rFonts w:ascii="Arial" w:hAnsi="Arial" w:cs="Arial"/>
          <w:sz w:val="24"/>
          <w:szCs w:val="24"/>
        </w:rPr>
        <w:t>multilineal</w:t>
      </w:r>
      <w:proofErr w:type="spellEnd"/>
      <w:r w:rsidR="002E7864">
        <w:rPr>
          <w:rFonts w:ascii="Arial" w:hAnsi="Arial" w:cs="Arial"/>
          <w:sz w:val="24"/>
          <w:szCs w:val="24"/>
        </w:rPr>
        <w:t>,</w:t>
      </w:r>
      <w:r w:rsidR="00A27B4E">
        <w:rPr>
          <w:rFonts w:ascii="Arial" w:hAnsi="Arial" w:cs="Arial"/>
          <w:sz w:val="24"/>
          <w:szCs w:val="24"/>
        </w:rPr>
        <w:t xml:space="preserve"> que busca</w:t>
      </w:r>
      <w:r w:rsidR="00530AE5">
        <w:rPr>
          <w:rFonts w:ascii="Arial" w:hAnsi="Arial" w:cs="Arial"/>
          <w:sz w:val="24"/>
          <w:szCs w:val="24"/>
        </w:rPr>
        <w:t>ba trazar</w:t>
      </w:r>
      <w:r w:rsidR="00A27B4E">
        <w:rPr>
          <w:rFonts w:ascii="Arial" w:hAnsi="Arial" w:cs="Arial"/>
          <w:sz w:val="24"/>
          <w:szCs w:val="24"/>
        </w:rPr>
        <w:t xml:space="preserve"> par</w:t>
      </w:r>
      <w:r w:rsidR="000C5BD6">
        <w:rPr>
          <w:rFonts w:ascii="Arial" w:hAnsi="Arial" w:cs="Arial"/>
          <w:sz w:val="24"/>
          <w:szCs w:val="24"/>
        </w:rPr>
        <w:t>a</w:t>
      </w:r>
      <w:r w:rsidR="00A27B4E">
        <w:rPr>
          <w:rFonts w:ascii="Arial" w:hAnsi="Arial" w:cs="Arial"/>
          <w:sz w:val="24"/>
          <w:szCs w:val="24"/>
        </w:rPr>
        <w:t>lelos de recurrencia limitada, no universales</w:t>
      </w:r>
      <w:r w:rsidR="000C5BD6">
        <w:rPr>
          <w:rFonts w:ascii="Arial" w:hAnsi="Arial" w:cs="Arial"/>
          <w:sz w:val="24"/>
          <w:szCs w:val="24"/>
        </w:rPr>
        <w:t xml:space="preserve">. </w:t>
      </w:r>
      <w:r w:rsidR="008D51A1">
        <w:rPr>
          <w:rFonts w:ascii="Arial" w:hAnsi="Arial" w:cs="Arial"/>
          <w:sz w:val="24"/>
          <w:szCs w:val="24"/>
        </w:rPr>
        <w:t xml:space="preserve">Este tipo </w:t>
      </w:r>
      <w:r w:rsidR="008D51A1">
        <w:rPr>
          <w:rFonts w:ascii="Arial" w:hAnsi="Arial" w:cs="Arial"/>
          <w:sz w:val="24"/>
          <w:szCs w:val="24"/>
        </w:rPr>
        <w:lastRenderedPageBreak/>
        <w:t xml:space="preserve">de análisis pierde universalidad, pero gana en precisión. </w:t>
      </w:r>
      <w:r w:rsidR="007360E5">
        <w:rPr>
          <w:rFonts w:ascii="Arial" w:hAnsi="Arial" w:cs="Arial"/>
          <w:sz w:val="24"/>
          <w:szCs w:val="24"/>
        </w:rPr>
        <w:t xml:space="preserve">Se enfocó en comparar </w:t>
      </w:r>
      <w:r w:rsidR="00545E87">
        <w:rPr>
          <w:rFonts w:ascii="Arial" w:hAnsi="Arial" w:cs="Arial"/>
          <w:sz w:val="24"/>
          <w:szCs w:val="24"/>
        </w:rPr>
        <w:t>secuencias</w:t>
      </w:r>
      <w:r w:rsidR="007360E5">
        <w:rPr>
          <w:rFonts w:ascii="Arial" w:hAnsi="Arial" w:cs="Arial"/>
          <w:sz w:val="24"/>
          <w:szCs w:val="24"/>
        </w:rPr>
        <w:t xml:space="preserve"> concretas</w:t>
      </w:r>
      <w:r w:rsidR="00545E87">
        <w:rPr>
          <w:rFonts w:ascii="Arial" w:hAnsi="Arial" w:cs="Arial"/>
          <w:sz w:val="24"/>
          <w:szCs w:val="24"/>
        </w:rPr>
        <w:t xml:space="preserve"> de sociedades</w:t>
      </w:r>
      <w:r w:rsidR="007360E5">
        <w:rPr>
          <w:rFonts w:ascii="Arial" w:hAnsi="Arial" w:cs="Arial"/>
          <w:sz w:val="24"/>
          <w:szCs w:val="24"/>
        </w:rPr>
        <w:t xml:space="preserve"> </w:t>
      </w:r>
      <w:r w:rsidR="007E6D7A">
        <w:rPr>
          <w:rFonts w:ascii="Arial" w:hAnsi="Arial" w:cs="Arial"/>
          <w:sz w:val="24"/>
          <w:szCs w:val="24"/>
        </w:rPr>
        <w:t>insertas en</w:t>
      </w:r>
      <w:r w:rsidR="007360E5">
        <w:rPr>
          <w:rFonts w:ascii="Arial" w:hAnsi="Arial" w:cs="Arial"/>
          <w:sz w:val="24"/>
          <w:szCs w:val="24"/>
        </w:rPr>
        <w:t xml:space="preserve"> medio</w:t>
      </w:r>
      <w:r w:rsidR="007E6D7A">
        <w:rPr>
          <w:rFonts w:ascii="Arial" w:hAnsi="Arial" w:cs="Arial"/>
          <w:sz w:val="24"/>
          <w:szCs w:val="24"/>
        </w:rPr>
        <w:t>ambientes</w:t>
      </w:r>
      <w:r w:rsidR="007360E5">
        <w:rPr>
          <w:rFonts w:ascii="Arial" w:hAnsi="Arial" w:cs="Arial"/>
          <w:sz w:val="24"/>
          <w:szCs w:val="24"/>
        </w:rPr>
        <w:t xml:space="preserve"> semejantes</w:t>
      </w:r>
      <w:r w:rsidR="007E6D7A">
        <w:rPr>
          <w:rFonts w:ascii="Arial" w:hAnsi="Arial" w:cs="Arial"/>
          <w:sz w:val="24"/>
          <w:szCs w:val="24"/>
        </w:rPr>
        <w:t>,</w:t>
      </w:r>
      <w:r w:rsidR="007360E5">
        <w:rPr>
          <w:rFonts w:ascii="Arial" w:hAnsi="Arial" w:cs="Arial"/>
          <w:sz w:val="24"/>
          <w:szCs w:val="24"/>
        </w:rPr>
        <w:t xml:space="preserve"> con el fin de identificar similitudes significativas en sus procesos evolutivos y trazar paralelos, regularidades, que</w:t>
      </w:r>
      <w:r w:rsidR="001E757F">
        <w:rPr>
          <w:rFonts w:ascii="Arial" w:hAnsi="Arial" w:cs="Arial"/>
          <w:sz w:val="24"/>
          <w:szCs w:val="24"/>
        </w:rPr>
        <w:t xml:space="preserve"> -como dijimos-</w:t>
      </w:r>
      <w:r w:rsidR="007360E5">
        <w:rPr>
          <w:rFonts w:ascii="Arial" w:hAnsi="Arial" w:cs="Arial"/>
          <w:sz w:val="24"/>
          <w:szCs w:val="24"/>
        </w:rPr>
        <w:t xml:space="preserve"> tendrían una recurrencia limitada. A su vez, se interesó por </w:t>
      </w:r>
      <w:r w:rsidR="00B070E0">
        <w:rPr>
          <w:rFonts w:ascii="Arial" w:hAnsi="Arial" w:cs="Arial"/>
          <w:sz w:val="24"/>
          <w:szCs w:val="24"/>
        </w:rPr>
        <w:t>indagar</w:t>
      </w:r>
      <w:r w:rsidR="007360E5">
        <w:rPr>
          <w:rFonts w:ascii="Arial" w:hAnsi="Arial" w:cs="Arial"/>
          <w:sz w:val="24"/>
          <w:szCs w:val="24"/>
        </w:rPr>
        <w:t xml:space="preserve"> las divergencias en los patrones de desarrollo y en los contenidos culturales entre sociedades que responden a medios diferentes. Por ejemplo, las sociedades agrarias que adoptan la tecnología hidráulica como estrategia de adaptación en zonas áridas o semiáridas, exhiben procesos y contenidos socioculturales</w:t>
      </w:r>
      <w:r w:rsidR="00D40657">
        <w:rPr>
          <w:rFonts w:ascii="Arial" w:hAnsi="Arial" w:cs="Arial"/>
          <w:sz w:val="24"/>
          <w:szCs w:val="24"/>
        </w:rPr>
        <w:t xml:space="preserve"> semejantes, y a su vez,</w:t>
      </w:r>
      <w:r w:rsidR="007360E5">
        <w:rPr>
          <w:rFonts w:ascii="Arial" w:hAnsi="Arial" w:cs="Arial"/>
          <w:sz w:val="24"/>
          <w:szCs w:val="24"/>
        </w:rPr>
        <w:t xml:space="preserve"> radicalmente distintos a los de otras sociedades agrarias no hidráulicas del mundo. </w:t>
      </w:r>
    </w:p>
    <w:p w14:paraId="69A0F6E3" w14:textId="0067D97D" w:rsidR="002E7864" w:rsidRDefault="00C071A9" w:rsidP="002E7864">
      <w:pPr>
        <w:pStyle w:val="Prrafodelista"/>
        <w:spacing w:after="0" w:line="360" w:lineRule="auto"/>
        <w:ind w:left="0"/>
        <w:jc w:val="both"/>
        <w:rPr>
          <w:rFonts w:ascii="Arial" w:hAnsi="Arial" w:cs="Arial"/>
          <w:sz w:val="24"/>
          <w:szCs w:val="24"/>
        </w:rPr>
      </w:pPr>
      <w:r>
        <w:rPr>
          <w:rFonts w:ascii="Arial" w:hAnsi="Arial" w:cs="Arial"/>
          <w:sz w:val="24"/>
          <w:szCs w:val="24"/>
        </w:rPr>
        <w:tab/>
      </w:r>
      <w:r w:rsidR="002E7864">
        <w:rPr>
          <w:rFonts w:ascii="Arial" w:hAnsi="Arial" w:cs="Arial"/>
          <w:sz w:val="24"/>
          <w:szCs w:val="24"/>
        </w:rPr>
        <w:t xml:space="preserve">Hacia los años ’60, un nutrido grupo de antropólogos norteamericanos, partiendo del enfoque de Steward, </w:t>
      </w:r>
      <w:r w:rsidR="007360E5">
        <w:rPr>
          <w:rFonts w:ascii="Arial" w:hAnsi="Arial" w:cs="Arial"/>
          <w:sz w:val="24"/>
          <w:szCs w:val="24"/>
        </w:rPr>
        <w:t>profundizará</w:t>
      </w:r>
      <w:r w:rsidR="002E7864">
        <w:rPr>
          <w:rFonts w:ascii="Arial" w:hAnsi="Arial" w:cs="Arial"/>
          <w:sz w:val="24"/>
          <w:szCs w:val="24"/>
        </w:rPr>
        <w:t xml:space="preserve"> una perspectiva </w:t>
      </w:r>
      <w:r w:rsidR="00101703">
        <w:rPr>
          <w:rFonts w:ascii="Arial" w:hAnsi="Arial" w:cs="Arial"/>
          <w:sz w:val="24"/>
          <w:szCs w:val="24"/>
        </w:rPr>
        <w:t>de evolución múltiple de la cultura</w:t>
      </w:r>
      <w:r w:rsidR="002E7864">
        <w:rPr>
          <w:rFonts w:ascii="Arial" w:hAnsi="Arial" w:cs="Arial"/>
          <w:sz w:val="24"/>
          <w:szCs w:val="24"/>
        </w:rPr>
        <w:t xml:space="preserve"> en asociación con el método de la ecología cultural. Wolf, </w:t>
      </w:r>
      <w:proofErr w:type="spellStart"/>
      <w:r w:rsidR="002E7864">
        <w:rPr>
          <w:rFonts w:ascii="Arial" w:hAnsi="Arial" w:cs="Arial"/>
          <w:sz w:val="24"/>
          <w:szCs w:val="24"/>
        </w:rPr>
        <w:t>Service</w:t>
      </w:r>
      <w:proofErr w:type="spellEnd"/>
      <w:r w:rsidR="002E7864">
        <w:rPr>
          <w:rFonts w:ascii="Arial" w:hAnsi="Arial" w:cs="Arial"/>
          <w:sz w:val="24"/>
          <w:szCs w:val="24"/>
        </w:rPr>
        <w:t xml:space="preserve">, </w:t>
      </w:r>
      <w:proofErr w:type="spellStart"/>
      <w:r w:rsidR="002E7864">
        <w:rPr>
          <w:rFonts w:ascii="Arial" w:hAnsi="Arial" w:cs="Arial"/>
          <w:sz w:val="24"/>
          <w:szCs w:val="24"/>
        </w:rPr>
        <w:t>Sahalins</w:t>
      </w:r>
      <w:proofErr w:type="spellEnd"/>
      <w:r w:rsidR="002E7864">
        <w:rPr>
          <w:rFonts w:ascii="Arial" w:hAnsi="Arial" w:cs="Arial"/>
          <w:sz w:val="24"/>
          <w:szCs w:val="24"/>
        </w:rPr>
        <w:t xml:space="preserve">, </w:t>
      </w:r>
      <w:proofErr w:type="spellStart"/>
      <w:r w:rsidR="002E7864">
        <w:rPr>
          <w:rFonts w:ascii="Arial" w:hAnsi="Arial" w:cs="Arial"/>
          <w:sz w:val="24"/>
          <w:szCs w:val="24"/>
        </w:rPr>
        <w:t>Manners</w:t>
      </w:r>
      <w:proofErr w:type="spellEnd"/>
      <w:r w:rsidR="002E7864">
        <w:rPr>
          <w:rFonts w:ascii="Arial" w:hAnsi="Arial" w:cs="Arial"/>
          <w:sz w:val="24"/>
          <w:szCs w:val="24"/>
        </w:rPr>
        <w:t>, entre otros</w:t>
      </w:r>
      <w:r w:rsidR="00101703">
        <w:rPr>
          <w:rFonts w:ascii="Arial" w:hAnsi="Arial" w:cs="Arial"/>
          <w:sz w:val="24"/>
          <w:szCs w:val="24"/>
        </w:rPr>
        <w:t xml:space="preserve">. Dicha perspectiva también tendrá un importante desarrollo en México de la mano de Ángel </w:t>
      </w:r>
      <w:proofErr w:type="spellStart"/>
      <w:r w:rsidR="00101703">
        <w:rPr>
          <w:rFonts w:ascii="Arial" w:hAnsi="Arial" w:cs="Arial"/>
          <w:sz w:val="24"/>
          <w:szCs w:val="24"/>
        </w:rPr>
        <w:t>Palerm</w:t>
      </w:r>
      <w:proofErr w:type="spellEnd"/>
      <w:r w:rsidR="00101703">
        <w:rPr>
          <w:rFonts w:ascii="Arial" w:hAnsi="Arial" w:cs="Arial"/>
          <w:sz w:val="24"/>
          <w:szCs w:val="24"/>
        </w:rPr>
        <w:t>.</w:t>
      </w:r>
    </w:p>
    <w:p w14:paraId="2970519A" w14:textId="77777777" w:rsidR="007D0DC0" w:rsidRDefault="007D0DC0" w:rsidP="002E7864">
      <w:pPr>
        <w:pStyle w:val="Prrafodelista"/>
        <w:spacing w:after="0" w:line="360" w:lineRule="auto"/>
        <w:ind w:left="0"/>
        <w:jc w:val="both"/>
        <w:rPr>
          <w:rFonts w:ascii="Arial" w:hAnsi="Arial" w:cs="Arial"/>
          <w:sz w:val="24"/>
          <w:szCs w:val="24"/>
        </w:rPr>
      </w:pPr>
    </w:p>
    <w:p w14:paraId="6DC79136" w14:textId="1746B302" w:rsidR="003F5FBA" w:rsidRDefault="00F433B9" w:rsidP="00F433B9">
      <w:pPr>
        <w:spacing w:after="0" w:line="360" w:lineRule="auto"/>
        <w:jc w:val="both"/>
        <w:rPr>
          <w:rFonts w:ascii="Arial" w:hAnsi="Arial" w:cs="Arial"/>
          <w:sz w:val="24"/>
          <w:szCs w:val="24"/>
        </w:rPr>
      </w:pPr>
      <w:r>
        <w:rPr>
          <w:rFonts w:ascii="Arial" w:hAnsi="Arial" w:cs="Arial"/>
          <w:sz w:val="24"/>
          <w:szCs w:val="24"/>
        </w:rPr>
        <w:tab/>
      </w:r>
    </w:p>
    <w:p w14:paraId="2A609285" w14:textId="77777777" w:rsidR="00F433B9" w:rsidRPr="00D735BD" w:rsidRDefault="00F433B9" w:rsidP="00F433B9">
      <w:pPr>
        <w:spacing w:after="0"/>
        <w:ind w:left="709" w:hanging="709"/>
        <w:jc w:val="both"/>
        <w:rPr>
          <w:rFonts w:ascii="Arial" w:hAnsi="Arial" w:cs="Arial"/>
          <w:sz w:val="20"/>
          <w:szCs w:val="20"/>
        </w:rPr>
      </w:pPr>
      <w:r w:rsidRPr="00D735BD">
        <w:rPr>
          <w:rFonts w:ascii="Arial" w:hAnsi="Arial" w:cs="Arial"/>
          <w:sz w:val="20"/>
          <w:szCs w:val="20"/>
        </w:rPr>
        <w:t>Bibliografía</w:t>
      </w:r>
    </w:p>
    <w:p w14:paraId="0C89C135" w14:textId="0A4E2E5C" w:rsidR="00FF7847" w:rsidRDefault="00FF7847" w:rsidP="00FF7847">
      <w:pPr>
        <w:spacing w:after="0" w:line="240" w:lineRule="auto"/>
        <w:ind w:left="709" w:hanging="709"/>
        <w:jc w:val="both"/>
        <w:rPr>
          <w:rFonts w:ascii="Arial" w:hAnsi="Arial" w:cs="Arial"/>
          <w:sz w:val="20"/>
          <w:szCs w:val="20"/>
        </w:rPr>
      </w:pPr>
      <w:r>
        <w:rPr>
          <w:rFonts w:ascii="Arial" w:hAnsi="Arial" w:cs="Arial"/>
          <w:sz w:val="20"/>
          <w:szCs w:val="20"/>
        </w:rPr>
        <w:t>ALCINA FRANCH, José. 1999. Evolución social. Capítulo 4: “El Neoevolucionismo”. Madrid. Akal.</w:t>
      </w:r>
    </w:p>
    <w:p w14:paraId="6B1FFBA0" w14:textId="3B92DF35" w:rsidR="004B5129" w:rsidRPr="003F5FBA" w:rsidRDefault="004B5129" w:rsidP="004B5129">
      <w:pPr>
        <w:spacing w:after="0" w:line="240" w:lineRule="auto"/>
        <w:ind w:left="709" w:hanging="709"/>
        <w:jc w:val="both"/>
        <w:rPr>
          <w:rFonts w:ascii="Arial" w:hAnsi="Arial" w:cs="Arial"/>
          <w:sz w:val="20"/>
          <w:szCs w:val="20"/>
        </w:rPr>
      </w:pPr>
      <w:r w:rsidRPr="003F5FBA">
        <w:rPr>
          <w:rFonts w:ascii="Arial" w:hAnsi="Arial" w:cs="Arial"/>
          <w:sz w:val="20"/>
          <w:szCs w:val="20"/>
        </w:rPr>
        <w:t xml:space="preserve">CHILDE, Vere G. (l992). </w:t>
      </w:r>
      <w:r w:rsidRPr="003F5FBA">
        <w:rPr>
          <w:rFonts w:ascii="Arial" w:hAnsi="Arial" w:cs="Arial"/>
          <w:i/>
          <w:sz w:val="20"/>
          <w:szCs w:val="20"/>
        </w:rPr>
        <w:t>Los orígenes de la civilización</w:t>
      </w:r>
      <w:r w:rsidRPr="003F5FBA">
        <w:rPr>
          <w:rFonts w:ascii="Arial" w:hAnsi="Arial" w:cs="Arial"/>
          <w:sz w:val="20"/>
          <w:szCs w:val="20"/>
        </w:rPr>
        <w:t xml:space="preserve">. México, F.C.E. 1° Ed. en inglés, 1936. </w:t>
      </w:r>
    </w:p>
    <w:p w14:paraId="6119BD04" w14:textId="5A1D3082" w:rsidR="00D778BD" w:rsidRPr="003F5FBA" w:rsidRDefault="00D778BD" w:rsidP="004B5129">
      <w:pPr>
        <w:spacing w:after="0" w:line="240" w:lineRule="auto"/>
        <w:ind w:left="709" w:hanging="709"/>
        <w:jc w:val="both"/>
        <w:rPr>
          <w:rFonts w:ascii="Arial" w:hAnsi="Arial" w:cs="Arial"/>
          <w:snapToGrid w:val="0"/>
          <w:sz w:val="20"/>
          <w:szCs w:val="20"/>
        </w:rPr>
      </w:pPr>
      <w:r w:rsidRPr="003F5FBA">
        <w:rPr>
          <w:rFonts w:ascii="Arial" w:hAnsi="Arial" w:cs="Arial"/>
          <w:snapToGrid w:val="0"/>
          <w:sz w:val="20"/>
          <w:szCs w:val="20"/>
        </w:rPr>
        <w:t xml:space="preserve">HOBSBAWM, Eric. 1999. </w:t>
      </w:r>
      <w:r w:rsidRPr="003F5FBA">
        <w:rPr>
          <w:rFonts w:ascii="Arial" w:hAnsi="Arial" w:cs="Arial"/>
          <w:i/>
          <w:iCs/>
          <w:snapToGrid w:val="0"/>
          <w:sz w:val="20"/>
          <w:szCs w:val="20"/>
        </w:rPr>
        <w:t>Historia del siglo XX</w:t>
      </w:r>
      <w:r w:rsidRPr="003F5FBA">
        <w:rPr>
          <w:rFonts w:ascii="Arial" w:hAnsi="Arial" w:cs="Arial"/>
          <w:snapToGrid w:val="0"/>
          <w:sz w:val="20"/>
          <w:szCs w:val="20"/>
        </w:rPr>
        <w:t>. Grijalbo. Buenos Aires.</w:t>
      </w:r>
    </w:p>
    <w:p w14:paraId="0BD9074F" w14:textId="7D41F6A6" w:rsidR="00A948A3" w:rsidRPr="003F5FBA" w:rsidRDefault="00A948A3" w:rsidP="00CE0829">
      <w:pPr>
        <w:spacing w:after="0" w:line="240" w:lineRule="auto"/>
        <w:ind w:left="709" w:hanging="709"/>
        <w:rPr>
          <w:rFonts w:ascii="Arial" w:hAnsi="Arial" w:cs="Arial"/>
          <w:sz w:val="20"/>
          <w:szCs w:val="20"/>
        </w:rPr>
      </w:pPr>
      <w:r w:rsidRPr="003F5FBA">
        <w:rPr>
          <w:rFonts w:ascii="Arial" w:hAnsi="Arial" w:cs="Arial"/>
          <w:sz w:val="20"/>
          <w:szCs w:val="20"/>
        </w:rPr>
        <w:t xml:space="preserve">KROTZ, Esteban (s/f) “Nueva vuelta al problema cultura-naturaleza. Contribuciones para la discusión del “problema ambiental” desde la perspectiva de las ciencias antropológicas”, Revista Relaciones N 41 disponible en </w:t>
      </w:r>
      <w:hyperlink r:id="rId7" w:history="1">
        <w:r w:rsidRPr="003F5FBA">
          <w:rPr>
            <w:rStyle w:val="Hipervnculo"/>
            <w:rFonts w:ascii="Arial" w:hAnsi="Arial" w:cs="Arial"/>
            <w:sz w:val="20"/>
            <w:szCs w:val="20"/>
          </w:rPr>
          <w:t>https://www.colmich.edu.mx/relaciones25/files/revistas/041/EstebanKrotz.pdf</w:t>
        </w:r>
      </w:hyperlink>
    </w:p>
    <w:p w14:paraId="67800FAC" w14:textId="2F32DBB0" w:rsidR="00AB2EBA" w:rsidRPr="003F5FBA" w:rsidRDefault="003F5FBA" w:rsidP="00AB2EBA">
      <w:pPr>
        <w:spacing w:after="0"/>
        <w:ind w:left="709" w:hanging="709"/>
        <w:jc w:val="both"/>
        <w:rPr>
          <w:rFonts w:ascii="Arial" w:hAnsi="Arial" w:cs="Arial"/>
          <w:sz w:val="20"/>
          <w:szCs w:val="20"/>
        </w:rPr>
      </w:pPr>
      <w:r w:rsidRPr="003F5FBA">
        <w:rPr>
          <w:rFonts w:ascii="Arial" w:hAnsi="Arial" w:cs="Arial"/>
          <w:sz w:val="20"/>
          <w:szCs w:val="20"/>
        </w:rPr>
        <w:t>LISÓN TOLOSANA</w:t>
      </w:r>
      <w:r w:rsidR="00AB2EBA" w:rsidRPr="003F5FBA">
        <w:rPr>
          <w:rFonts w:ascii="Arial" w:hAnsi="Arial" w:cs="Arial"/>
          <w:sz w:val="20"/>
          <w:szCs w:val="20"/>
        </w:rPr>
        <w:t xml:space="preserve">, Carmelo. 1971. “Difusión y evolución: estado de la cuestión en Antropología”. </w:t>
      </w:r>
      <w:r w:rsidR="00AB2EBA" w:rsidRPr="003F5FBA">
        <w:rPr>
          <w:rFonts w:ascii="Arial" w:hAnsi="Arial" w:cs="Arial"/>
          <w:i/>
          <w:iCs/>
          <w:sz w:val="20"/>
          <w:szCs w:val="20"/>
        </w:rPr>
        <w:t>Anuario de estudios atlánticos</w:t>
      </w:r>
      <w:r w:rsidR="00AB2EBA" w:rsidRPr="003F5FBA">
        <w:rPr>
          <w:rFonts w:ascii="Arial" w:hAnsi="Arial" w:cs="Arial"/>
          <w:sz w:val="20"/>
          <w:szCs w:val="20"/>
        </w:rPr>
        <w:t>. Nº17.</w:t>
      </w:r>
    </w:p>
    <w:p w14:paraId="3A4D8BFB" w14:textId="1389C741" w:rsidR="00AA6961" w:rsidRPr="003F5FBA" w:rsidRDefault="003F5FBA" w:rsidP="003F5FBA">
      <w:pPr>
        <w:spacing w:after="0"/>
        <w:ind w:left="709" w:hanging="709"/>
        <w:rPr>
          <w:rFonts w:ascii="Arial" w:hAnsi="Arial" w:cs="Arial"/>
          <w:sz w:val="20"/>
          <w:szCs w:val="20"/>
        </w:rPr>
      </w:pPr>
      <w:r w:rsidRPr="003F5FBA">
        <w:rPr>
          <w:rFonts w:ascii="Arial" w:hAnsi="Arial" w:cs="Arial"/>
          <w:sz w:val="20"/>
          <w:szCs w:val="20"/>
        </w:rPr>
        <w:t>-----------------------------------------. 1980. “Prólogo”, en Morgan, L</w:t>
      </w:r>
      <w:r w:rsidRPr="003F5FBA">
        <w:rPr>
          <w:rFonts w:ascii="Arial" w:hAnsi="Arial" w:cs="Arial"/>
          <w:i/>
          <w:iCs/>
          <w:sz w:val="20"/>
          <w:szCs w:val="20"/>
        </w:rPr>
        <w:t>. H. La sociedad primitiva</w:t>
      </w:r>
      <w:r w:rsidRPr="003F5FBA">
        <w:rPr>
          <w:rFonts w:ascii="Arial" w:hAnsi="Arial" w:cs="Arial"/>
          <w:sz w:val="20"/>
          <w:szCs w:val="20"/>
        </w:rPr>
        <w:t>. Bogotá. Pluma/Ayuso.</w:t>
      </w:r>
    </w:p>
    <w:p w14:paraId="7BB7F173" w14:textId="41CA2F3B" w:rsidR="00EB2E89" w:rsidRPr="00320273" w:rsidRDefault="005555A7" w:rsidP="00320273">
      <w:pPr>
        <w:jc w:val="both"/>
        <w:rPr>
          <w:rFonts w:ascii="Arial" w:hAnsi="Arial" w:cs="Arial"/>
          <w:sz w:val="20"/>
          <w:szCs w:val="20"/>
        </w:rPr>
      </w:pPr>
      <w:r w:rsidRPr="00320273">
        <w:rPr>
          <w:rFonts w:ascii="Arial" w:hAnsi="Arial" w:cs="Arial"/>
          <w:sz w:val="20"/>
          <w:szCs w:val="20"/>
        </w:rPr>
        <w:t>PALERM, Ángel (1997) Introducción a la teoría etnológica</w:t>
      </w:r>
      <w:r w:rsidR="00320273" w:rsidRPr="00320273">
        <w:rPr>
          <w:rFonts w:ascii="Arial" w:hAnsi="Arial" w:cs="Arial"/>
          <w:sz w:val="20"/>
          <w:szCs w:val="20"/>
        </w:rPr>
        <w:t>, México, Universidad Iberoamericana.</w:t>
      </w:r>
    </w:p>
    <w:sectPr w:rsidR="00EB2E89" w:rsidRPr="00320273">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AC303" w14:textId="77777777" w:rsidR="00D0733A" w:rsidRDefault="00D0733A" w:rsidP="00F433B9">
      <w:pPr>
        <w:spacing w:after="0" w:line="240" w:lineRule="auto"/>
      </w:pPr>
      <w:r>
        <w:separator/>
      </w:r>
    </w:p>
  </w:endnote>
  <w:endnote w:type="continuationSeparator" w:id="0">
    <w:p w14:paraId="633A5978" w14:textId="77777777" w:rsidR="00D0733A" w:rsidRDefault="00D0733A" w:rsidP="00F43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260753"/>
      <w:docPartObj>
        <w:docPartGallery w:val="Page Numbers (Bottom of Page)"/>
        <w:docPartUnique/>
      </w:docPartObj>
    </w:sdtPr>
    <w:sdtContent>
      <w:p w14:paraId="2954B552" w14:textId="77777777" w:rsidR="00891690" w:rsidRDefault="00F72D34">
        <w:pPr>
          <w:pStyle w:val="Piedepgina"/>
          <w:jc w:val="center"/>
        </w:pPr>
        <w:r>
          <w:rPr>
            <w:noProof/>
          </w:rPr>
          <mc:AlternateContent>
            <mc:Choice Requires="wpg">
              <w:drawing>
                <wp:inline distT="0" distB="0" distL="0" distR="0" wp14:anchorId="3EDD5892" wp14:editId="4C9BB294">
                  <wp:extent cx="418465" cy="221615"/>
                  <wp:effectExtent l="0" t="0" r="635" b="0"/>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AE9AA" w14:textId="77777777" w:rsidR="00891690" w:rsidRDefault="00F72D34">
                                <w:pPr>
                                  <w:jc w:val="center"/>
                                  <w:rPr>
                                    <w:szCs w:val="18"/>
                                  </w:rPr>
                                </w:pPr>
                                <w:r>
                                  <w:fldChar w:fldCharType="begin"/>
                                </w:r>
                                <w:r>
                                  <w:instrText>PAGE    \* MERGEFORMAT</w:instrText>
                                </w:r>
                                <w:r>
                                  <w:fldChar w:fldCharType="separate"/>
                                </w:r>
                                <w:r>
                                  <w:rPr>
                                    <w:i/>
                                    <w:iCs/>
                                    <w:sz w:val="18"/>
                                    <w:szCs w:val="18"/>
                                    <w:lang w:val="es-ES"/>
                                  </w:rPr>
                                  <w:t>2</w:t>
                                </w:r>
                                <w:r>
                                  <w:rPr>
                                    <w:i/>
                                    <w:iCs/>
                                    <w:sz w:val="18"/>
                                    <w:szCs w:val="18"/>
                                  </w:rPr>
                                  <w:fldChar w:fldCharType="end"/>
                                </w:r>
                              </w:p>
                            </w:txbxContent>
                          </wps:txbx>
                          <wps:bodyPr rot="0" vert="horz" wrap="square" lIns="0" tIns="0" rIns="0" bIns="0" anchor="ctr" anchorCtr="0" upright="1">
                            <a:noAutofit/>
                          </wps:bodyPr>
                        </wps:wsp>
                        <wpg:grpSp>
                          <wpg:cNvPr id="6" name="Group 64"/>
                          <wpg:cNvGrpSpPr>
                            <a:grpSpLocks/>
                          </wpg:cNvGrpSpPr>
                          <wpg:grpSpPr bwMode="auto">
                            <a:xfrm>
                              <a:off x="5494" y="739"/>
                              <a:ext cx="372" cy="72"/>
                              <a:chOff x="5486" y="739"/>
                              <a:chExt cx="372" cy="72"/>
                            </a:xfrm>
                          </wpg:grpSpPr>
                          <wps:wsp>
                            <wps:cNvPr id="7"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EDD5892" id="Grupo 4"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70AAE9AA" w14:textId="77777777" w:rsidR="00891690" w:rsidRDefault="00F72D34">
                          <w:pPr>
                            <w:jc w:val="center"/>
                            <w:rPr>
                              <w:szCs w:val="18"/>
                            </w:rPr>
                          </w:pPr>
                          <w:r>
                            <w:fldChar w:fldCharType="begin"/>
                          </w:r>
                          <w:r>
                            <w:instrText>PAGE    \* MERGEFORMAT</w:instrText>
                          </w:r>
                          <w:r>
                            <w:fldChar w:fldCharType="separate"/>
                          </w:r>
                          <w:r>
                            <w:rPr>
                              <w:i/>
                              <w:iCs/>
                              <w:sz w:val="18"/>
                              <w:szCs w:val="18"/>
                              <w:lang w:val="es-ES"/>
                            </w:rPr>
                            <w:t>2</w:t>
                          </w:r>
                          <w:r>
                            <w:rPr>
                              <w:i/>
                              <w:iCs/>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" fillcolor="#84a2c6" stroked="f"/>
                  </v:group>
                  <w10:anchorlock/>
                </v:group>
              </w:pict>
            </mc:Fallback>
          </mc:AlternateContent>
        </w:r>
      </w:p>
    </w:sdtContent>
  </w:sdt>
  <w:p w14:paraId="31BCCFE0" w14:textId="77777777" w:rsidR="00891690" w:rsidRDefault="008916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D0560" w14:textId="77777777" w:rsidR="00D0733A" w:rsidRDefault="00D0733A" w:rsidP="00F433B9">
      <w:pPr>
        <w:spacing w:after="0" w:line="240" w:lineRule="auto"/>
      </w:pPr>
      <w:r>
        <w:separator/>
      </w:r>
    </w:p>
  </w:footnote>
  <w:footnote w:type="continuationSeparator" w:id="0">
    <w:p w14:paraId="67127EE9" w14:textId="77777777" w:rsidR="00D0733A" w:rsidRDefault="00D0733A" w:rsidP="00F433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07667789"/>
    <w:multiLevelType w:val="hybridMultilevel"/>
    <w:tmpl w:val="DF4ABEC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3" w15:restartNumberingAfterBreak="0">
    <w:nsid w:val="26222861"/>
    <w:multiLevelType w:val="hybridMultilevel"/>
    <w:tmpl w:val="71B498E4"/>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4BF112A8"/>
    <w:multiLevelType w:val="hybridMultilevel"/>
    <w:tmpl w:val="F5A6678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5308116D"/>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num w:numId="1" w16cid:durableId="331227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31119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4403525">
    <w:abstractNumId w:val="5"/>
  </w:num>
  <w:num w:numId="4" w16cid:durableId="93017753">
    <w:abstractNumId w:val="3"/>
  </w:num>
  <w:num w:numId="5" w16cid:durableId="1155148652">
    <w:abstractNumId w:val="1"/>
  </w:num>
  <w:num w:numId="6" w16cid:durableId="7870928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B9"/>
    <w:rsid w:val="00037776"/>
    <w:rsid w:val="000377B4"/>
    <w:rsid w:val="00041DFC"/>
    <w:rsid w:val="000619C3"/>
    <w:rsid w:val="00064749"/>
    <w:rsid w:val="00084E2C"/>
    <w:rsid w:val="00094AE9"/>
    <w:rsid w:val="000C5BD6"/>
    <w:rsid w:val="000E3450"/>
    <w:rsid w:val="000E5CAD"/>
    <w:rsid w:val="00101703"/>
    <w:rsid w:val="00117EBA"/>
    <w:rsid w:val="001363C5"/>
    <w:rsid w:val="00147F63"/>
    <w:rsid w:val="00152B16"/>
    <w:rsid w:val="00171D1A"/>
    <w:rsid w:val="001720CD"/>
    <w:rsid w:val="001822EA"/>
    <w:rsid w:val="001A1C00"/>
    <w:rsid w:val="001B3A09"/>
    <w:rsid w:val="001D773A"/>
    <w:rsid w:val="001E757F"/>
    <w:rsid w:val="001F4171"/>
    <w:rsid w:val="00210C11"/>
    <w:rsid w:val="002160D6"/>
    <w:rsid w:val="00221735"/>
    <w:rsid w:val="002274B3"/>
    <w:rsid w:val="00232888"/>
    <w:rsid w:val="00247075"/>
    <w:rsid w:val="00272334"/>
    <w:rsid w:val="002920F7"/>
    <w:rsid w:val="002A5518"/>
    <w:rsid w:val="002A77DA"/>
    <w:rsid w:val="002B05F9"/>
    <w:rsid w:val="002E08E8"/>
    <w:rsid w:val="002E7307"/>
    <w:rsid w:val="002E7864"/>
    <w:rsid w:val="00312DF7"/>
    <w:rsid w:val="00320273"/>
    <w:rsid w:val="00321F1B"/>
    <w:rsid w:val="003A688A"/>
    <w:rsid w:val="003C36FE"/>
    <w:rsid w:val="003D35CC"/>
    <w:rsid w:val="003F5B04"/>
    <w:rsid w:val="003F5FBA"/>
    <w:rsid w:val="00445FF0"/>
    <w:rsid w:val="00447DBC"/>
    <w:rsid w:val="00465139"/>
    <w:rsid w:val="00476532"/>
    <w:rsid w:val="00480528"/>
    <w:rsid w:val="00496988"/>
    <w:rsid w:val="00497EA6"/>
    <w:rsid w:val="004B5129"/>
    <w:rsid w:val="004B6F32"/>
    <w:rsid w:val="004C56FA"/>
    <w:rsid w:val="004D6D07"/>
    <w:rsid w:val="004E4735"/>
    <w:rsid w:val="005072CD"/>
    <w:rsid w:val="00512C7D"/>
    <w:rsid w:val="005259A5"/>
    <w:rsid w:val="00530AE5"/>
    <w:rsid w:val="00542E59"/>
    <w:rsid w:val="00545E87"/>
    <w:rsid w:val="005555A7"/>
    <w:rsid w:val="005B0514"/>
    <w:rsid w:val="005B25AE"/>
    <w:rsid w:val="005C7DD2"/>
    <w:rsid w:val="005F6DB5"/>
    <w:rsid w:val="0060276A"/>
    <w:rsid w:val="00614DD2"/>
    <w:rsid w:val="006242CB"/>
    <w:rsid w:val="00651714"/>
    <w:rsid w:val="00657930"/>
    <w:rsid w:val="00681791"/>
    <w:rsid w:val="00683B67"/>
    <w:rsid w:val="0069696B"/>
    <w:rsid w:val="006B5D86"/>
    <w:rsid w:val="006B78B1"/>
    <w:rsid w:val="006D0008"/>
    <w:rsid w:val="00700899"/>
    <w:rsid w:val="0072174A"/>
    <w:rsid w:val="007360E5"/>
    <w:rsid w:val="00775D58"/>
    <w:rsid w:val="00793C30"/>
    <w:rsid w:val="0079668E"/>
    <w:rsid w:val="007A2370"/>
    <w:rsid w:val="007A2929"/>
    <w:rsid w:val="007B1068"/>
    <w:rsid w:val="007B2D33"/>
    <w:rsid w:val="007B42E3"/>
    <w:rsid w:val="007D0DC0"/>
    <w:rsid w:val="007E6D7A"/>
    <w:rsid w:val="007F6A39"/>
    <w:rsid w:val="00816345"/>
    <w:rsid w:val="0082290C"/>
    <w:rsid w:val="008429E9"/>
    <w:rsid w:val="00874370"/>
    <w:rsid w:val="00876E2E"/>
    <w:rsid w:val="00891690"/>
    <w:rsid w:val="008920D4"/>
    <w:rsid w:val="008928F6"/>
    <w:rsid w:val="008B06C9"/>
    <w:rsid w:val="008D2A99"/>
    <w:rsid w:val="008D51A1"/>
    <w:rsid w:val="008D6CDD"/>
    <w:rsid w:val="008E07FB"/>
    <w:rsid w:val="008E7D67"/>
    <w:rsid w:val="008F31EC"/>
    <w:rsid w:val="00902118"/>
    <w:rsid w:val="009169BF"/>
    <w:rsid w:val="00991820"/>
    <w:rsid w:val="009968B6"/>
    <w:rsid w:val="009A0648"/>
    <w:rsid w:val="009A1CD9"/>
    <w:rsid w:val="009B4B7A"/>
    <w:rsid w:val="009D546B"/>
    <w:rsid w:val="009E3B0D"/>
    <w:rsid w:val="009F00E7"/>
    <w:rsid w:val="00A1362A"/>
    <w:rsid w:val="00A21083"/>
    <w:rsid w:val="00A27B4E"/>
    <w:rsid w:val="00A3707D"/>
    <w:rsid w:val="00A63001"/>
    <w:rsid w:val="00A942D4"/>
    <w:rsid w:val="00A948A3"/>
    <w:rsid w:val="00AA6961"/>
    <w:rsid w:val="00AB2EBA"/>
    <w:rsid w:val="00AB6BFC"/>
    <w:rsid w:val="00AC5508"/>
    <w:rsid w:val="00AC57C9"/>
    <w:rsid w:val="00AD1254"/>
    <w:rsid w:val="00AD7D01"/>
    <w:rsid w:val="00AF547B"/>
    <w:rsid w:val="00B070E0"/>
    <w:rsid w:val="00B10E96"/>
    <w:rsid w:val="00B16EDD"/>
    <w:rsid w:val="00B252B8"/>
    <w:rsid w:val="00B3340C"/>
    <w:rsid w:val="00B62AD4"/>
    <w:rsid w:val="00B77AE5"/>
    <w:rsid w:val="00B93C4F"/>
    <w:rsid w:val="00BC1B25"/>
    <w:rsid w:val="00BC27FF"/>
    <w:rsid w:val="00BC64B7"/>
    <w:rsid w:val="00BE25E6"/>
    <w:rsid w:val="00C071A9"/>
    <w:rsid w:val="00C10904"/>
    <w:rsid w:val="00C26382"/>
    <w:rsid w:val="00C42718"/>
    <w:rsid w:val="00C47D09"/>
    <w:rsid w:val="00C55748"/>
    <w:rsid w:val="00C7564C"/>
    <w:rsid w:val="00CA661E"/>
    <w:rsid w:val="00CC72F5"/>
    <w:rsid w:val="00CE0829"/>
    <w:rsid w:val="00D0733A"/>
    <w:rsid w:val="00D33415"/>
    <w:rsid w:val="00D40657"/>
    <w:rsid w:val="00D557A6"/>
    <w:rsid w:val="00D778BD"/>
    <w:rsid w:val="00DD0AA4"/>
    <w:rsid w:val="00E04FA5"/>
    <w:rsid w:val="00E33E15"/>
    <w:rsid w:val="00E506C0"/>
    <w:rsid w:val="00E56FB7"/>
    <w:rsid w:val="00E62702"/>
    <w:rsid w:val="00E65DD4"/>
    <w:rsid w:val="00E85546"/>
    <w:rsid w:val="00E87A2C"/>
    <w:rsid w:val="00EA36F1"/>
    <w:rsid w:val="00EB21DE"/>
    <w:rsid w:val="00EB2B3D"/>
    <w:rsid w:val="00EB2E89"/>
    <w:rsid w:val="00EB47ED"/>
    <w:rsid w:val="00EF155C"/>
    <w:rsid w:val="00F100C5"/>
    <w:rsid w:val="00F16A3E"/>
    <w:rsid w:val="00F433B9"/>
    <w:rsid w:val="00F463FD"/>
    <w:rsid w:val="00F46776"/>
    <w:rsid w:val="00F642A4"/>
    <w:rsid w:val="00F72D34"/>
    <w:rsid w:val="00F90A91"/>
    <w:rsid w:val="00F90DB6"/>
    <w:rsid w:val="00FB4B43"/>
    <w:rsid w:val="00FD22DD"/>
    <w:rsid w:val="00FE592A"/>
    <w:rsid w:val="00FF154A"/>
    <w:rsid w:val="00FF21B9"/>
    <w:rsid w:val="00FF784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2E10A"/>
  <w15:chartTrackingRefBased/>
  <w15:docId w15:val="{EB02B619-7263-4F21-8B87-945AA56F0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3B9"/>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433B9"/>
    <w:pPr>
      <w:ind w:left="720"/>
      <w:contextualSpacing/>
    </w:pPr>
  </w:style>
  <w:style w:type="paragraph" w:styleId="Textonotapie">
    <w:name w:val="footnote text"/>
    <w:basedOn w:val="Normal"/>
    <w:link w:val="TextonotapieCar"/>
    <w:uiPriority w:val="99"/>
    <w:semiHidden/>
    <w:unhideWhenUsed/>
    <w:rsid w:val="00F433B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433B9"/>
    <w:rPr>
      <w:sz w:val="20"/>
      <w:szCs w:val="20"/>
    </w:rPr>
  </w:style>
  <w:style w:type="character" w:styleId="Refdenotaalpie">
    <w:name w:val="footnote reference"/>
    <w:basedOn w:val="Fuentedeprrafopredeter"/>
    <w:uiPriority w:val="99"/>
    <w:semiHidden/>
    <w:unhideWhenUsed/>
    <w:rsid w:val="00F433B9"/>
    <w:rPr>
      <w:vertAlign w:val="superscript"/>
    </w:rPr>
  </w:style>
  <w:style w:type="paragraph" w:styleId="Piedepgina">
    <w:name w:val="footer"/>
    <w:basedOn w:val="Normal"/>
    <w:link w:val="PiedepginaCar"/>
    <w:uiPriority w:val="99"/>
    <w:unhideWhenUsed/>
    <w:rsid w:val="00F433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433B9"/>
  </w:style>
  <w:style w:type="paragraph" w:customStyle="1" w:styleId="art-title">
    <w:name w:val="art-title"/>
    <w:basedOn w:val="Normal"/>
    <w:rsid w:val="00F433B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journal">
    <w:name w:val="journal"/>
    <w:basedOn w:val="Fuentedeprrafopredeter"/>
    <w:rsid w:val="00F433B9"/>
  </w:style>
  <w:style w:type="character" w:customStyle="1" w:styleId="issue">
    <w:name w:val="issue"/>
    <w:basedOn w:val="Fuentedeprrafopredeter"/>
    <w:rsid w:val="00F433B9"/>
  </w:style>
  <w:style w:type="character" w:customStyle="1" w:styleId="volume">
    <w:name w:val="volume"/>
    <w:basedOn w:val="Fuentedeprrafopredeter"/>
    <w:rsid w:val="00F433B9"/>
  </w:style>
  <w:style w:type="character" w:customStyle="1" w:styleId="year">
    <w:name w:val="year"/>
    <w:basedOn w:val="Fuentedeprrafopredeter"/>
    <w:rsid w:val="00F433B9"/>
  </w:style>
  <w:style w:type="character" w:styleId="Hipervnculo">
    <w:name w:val="Hyperlink"/>
    <w:basedOn w:val="Fuentedeprrafopredeter"/>
    <w:uiPriority w:val="99"/>
    <w:unhideWhenUsed/>
    <w:rsid w:val="00F433B9"/>
    <w:rPr>
      <w:color w:val="0563C1" w:themeColor="hyperlink"/>
      <w:u w:val="single"/>
    </w:rPr>
  </w:style>
  <w:style w:type="character" w:styleId="nfasis">
    <w:name w:val="Emphasis"/>
    <w:basedOn w:val="Fuentedeprrafopredeter"/>
    <w:uiPriority w:val="20"/>
    <w:qFormat/>
    <w:rsid w:val="004C56FA"/>
    <w:rPr>
      <w:i/>
      <w:iCs/>
    </w:rPr>
  </w:style>
  <w:style w:type="paragraph" w:styleId="NormalWeb">
    <w:name w:val="Normal (Web)"/>
    <w:basedOn w:val="Normal"/>
    <w:uiPriority w:val="99"/>
    <w:semiHidden/>
    <w:unhideWhenUsed/>
    <w:rsid w:val="007B1068"/>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lmich.edu.mx/relaciones25/files/revistas/041/EstebanKrotz.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2190</TotalTime>
  <Pages>5</Pages>
  <Words>1684</Words>
  <Characters>9268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87</cp:revision>
  <dcterms:created xsi:type="dcterms:W3CDTF">2021-09-02T15:10:00Z</dcterms:created>
  <dcterms:modified xsi:type="dcterms:W3CDTF">2023-08-10T19:27:00Z</dcterms:modified>
</cp:coreProperties>
</file>